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D68C3">
      <w:pPr>
        <w:spacing w:line="560" w:lineRule="exac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重要资料  注意保管</w:t>
      </w:r>
    </w:p>
    <w:p w14:paraId="0D58F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distribute"/>
        <w:textAlignment w:val="auto"/>
        <w:rPr>
          <w:rFonts w:hint="eastAsia" w:ascii="方正小标宋简体" w:hAnsi="方正小标宋简体" w:eastAsia="方正小标宋简体" w:cs="方正小标宋简体"/>
          <w:color w:val="FF0000"/>
          <w:sz w:val="96"/>
          <w:szCs w:val="96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pacing w:val="-20"/>
          <w:sz w:val="96"/>
          <w:szCs w:val="96"/>
        </w:rPr>
        <w:t>电力看经济月动态</w:t>
      </w:r>
    </w:p>
    <w:p w14:paraId="29A6BEE3">
      <w:pPr>
        <w:spacing w:line="560" w:lineRule="exact"/>
        <w:rPr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国网萧山供电公司能源大数据评价与应用研究中心         2024年1</w:t>
      </w:r>
      <w:r>
        <w:rPr>
          <w:rFonts w:hint="eastAsia" w:ascii="楷体_GB2312" w:hAnsi="楷体_GB2312" w:eastAsia="楷体_GB2312" w:cs="楷体_GB2312"/>
          <w:sz w:val="24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  <w:sz w:val="24"/>
        </w:rPr>
        <w:t>月</w:t>
      </w:r>
      <w:r>
        <w:rPr>
          <w:rFonts w:hint="eastAsia" w:ascii="楷体_GB2312" w:hAnsi="楷体_GB2312" w:eastAsia="楷体_GB2312" w:cs="楷体_GB2312"/>
          <w:sz w:val="24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24"/>
        </w:rPr>
        <w:t>日</w:t>
      </w:r>
    </w:p>
    <w:p w14:paraId="7CF5D025">
      <w:pPr>
        <w:spacing w:line="560" w:lineRule="exact"/>
        <w:ind w:firstLine="640" w:firstLineChars="200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144145</wp:posOffset>
                </wp:positionV>
                <wp:extent cx="5324475" cy="0"/>
                <wp:effectExtent l="0" t="1905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1250" y="3192145"/>
                          <a:ext cx="53244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5pt;margin-top:11.35pt;height:0pt;width:419.25pt;z-index:251659264;mso-width-relative:page;mso-height-relative:page;" filled="f" stroked="t" coordsize="21600,21600" o:gfxdata="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89DNP1gAAAAgBAAAPAAAAAAAAAAEAIAAAACIAAABkcnMvZG93bnJldi54bWxQ&#10;SwECFAAUAAAACACHTuJAciM8KPkBAADMAwAADgAAAAAAAAABACAAAAAlAQAAZHJzL2Uyb0RvYy54&#10;bWxQSwUGAAAAAAYABgBZAQAAkAUAAAAA&#10;">
                <v:fill on="f" focussize="0,0"/>
                <v:stroke weight="3pt" color="#FF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D3F18CB">
      <w:pPr>
        <w:keepNext w:val="0"/>
        <w:keepLines w:val="0"/>
        <w:pageBreakBefore w:val="0"/>
        <w:widowControl w:val="0"/>
        <w:tabs>
          <w:tab w:val="left" w:pos="50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sz w:val="2"/>
          <w:szCs w:val="2"/>
        </w:rPr>
      </w:pPr>
    </w:p>
    <w:p w14:paraId="1E538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" w:afterLines="100" w:line="560" w:lineRule="exact"/>
        <w:jc w:val="center"/>
        <w:textAlignment w:val="auto"/>
        <w:outlineLvl w:val="0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摘  要</w:t>
      </w:r>
    </w:p>
    <w:p w14:paraId="17DAAA82">
      <w:pPr>
        <w:spacing w:line="560" w:lineRule="exact"/>
        <w:ind w:firstLine="643" w:firstLineChars="20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11月，我区用电量同比略有增长。</w:t>
      </w:r>
      <w:r>
        <w:rPr>
          <w:rFonts w:hint="eastAsia" w:ascii="仿宋_GB2312" w:hAnsi="仿宋_GB2312" w:eastAsia="仿宋_GB2312" w:cs="仿宋_GB2312"/>
          <w:sz w:val="32"/>
          <w:szCs w:val="32"/>
        </w:rPr>
        <w:t>全社会用电量18.71亿千瓦时</w:t>
      </w:r>
      <w:r>
        <w:rPr>
          <w:rStyle w:val="10"/>
          <w:rFonts w:hint="eastAsia" w:ascii="仿宋_GB2312" w:hAnsi="仿宋_GB2312" w:eastAsia="仿宋_GB2312" w:cs="仿宋_GB2312"/>
          <w:b/>
          <w:bCs/>
          <w:sz w:val="32"/>
          <w:szCs w:val="32"/>
        </w:rPr>
        <w:footnoteReference w:id="0"/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同比增长3.9%。</w:t>
      </w:r>
      <w:r>
        <w:rPr>
          <w:rFonts w:hint="eastAsia" w:ascii="仿宋_GB2312" w:hAnsi="仿宋_GB2312" w:eastAsia="仿宋_GB2312" w:cs="仿宋_GB2312"/>
          <w:sz w:val="32"/>
          <w:szCs w:val="32"/>
        </w:rPr>
        <w:t>（第二产业同比增长2.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%，第三产业同比增长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5.4</w:t>
      </w:r>
      <w:r>
        <w:rPr>
          <w:rFonts w:hint="eastAsia" w:ascii="仿宋_GB2312" w:hAnsi="仿宋_GB2312" w:eastAsia="仿宋_GB2312" w:cs="仿宋_GB2312"/>
          <w:sz w:val="32"/>
          <w:szCs w:val="32"/>
        </w:rPr>
        <w:t>%，工业同比增长2.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%）。</w:t>
      </w:r>
    </w:p>
    <w:p w14:paraId="534475E0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今年（1月至11月），我区全社会用电量221.1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同比增长7.4%</w:t>
      </w:r>
      <w:r>
        <w:rPr>
          <w:rFonts w:hint="eastAsia" w:ascii="仿宋_GB2312" w:hAnsi="仿宋_GB2312" w:eastAsia="仿宋_GB2312" w:cs="仿宋_GB2312"/>
          <w:sz w:val="32"/>
          <w:szCs w:val="32"/>
        </w:rPr>
        <w:t>（第二产业同比增长3.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%，第三产业同比增长10.5%，工业同比增长3.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%）。</w:t>
      </w:r>
    </w:p>
    <w:p w14:paraId="3BCFD52B">
      <w:pPr>
        <w:spacing w:line="560" w:lineRule="exact"/>
        <w:ind w:firstLine="643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11月，工业用电量同比略有增长。</w:t>
      </w:r>
      <w:r>
        <w:rPr>
          <w:rFonts w:hint="eastAsia" w:ascii="仿宋_GB2312" w:hAnsi="仿宋_GB2312" w:eastAsia="仿宋_GB2312" w:cs="仿宋_GB2312"/>
          <w:sz w:val="32"/>
          <w:szCs w:val="32"/>
        </w:rPr>
        <w:t>规上工业用电量同比增长4.0%；514家</w:t>
      </w:r>
      <w:r>
        <w:rPr>
          <w:rStyle w:val="10"/>
          <w:rFonts w:hint="eastAsia" w:ascii="仿宋_GB2312" w:hAnsi="仿宋_GB2312" w:eastAsia="仿宋_GB2312" w:cs="仿宋_GB2312"/>
          <w:sz w:val="32"/>
          <w:szCs w:val="32"/>
        </w:rPr>
        <w:footnoteReference w:id="1"/>
      </w:r>
      <w:r>
        <w:rPr>
          <w:rFonts w:hint="eastAsia" w:ascii="仿宋_GB2312" w:hAnsi="仿宋_GB2312" w:eastAsia="仿宋_GB2312" w:cs="仿宋_GB2312"/>
          <w:sz w:val="32"/>
          <w:szCs w:val="32"/>
        </w:rPr>
        <w:t>企业用电量同比增长3.7%，244家</w:t>
      </w:r>
      <w:r>
        <w:rPr>
          <w:rStyle w:val="10"/>
          <w:rFonts w:hint="eastAsia" w:ascii="仿宋_GB2312" w:hAnsi="仿宋_GB2312" w:eastAsia="仿宋_GB2312" w:cs="仿宋_GB2312"/>
          <w:sz w:val="32"/>
          <w:szCs w:val="32"/>
        </w:rPr>
        <w:footnoteReference w:id="2"/>
      </w:r>
      <w:r>
        <w:rPr>
          <w:rFonts w:hint="eastAsia" w:ascii="仿宋_GB2312" w:hAnsi="仿宋_GB2312" w:eastAsia="仿宋_GB2312" w:cs="仿宋_GB2312"/>
          <w:sz w:val="32"/>
          <w:szCs w:val="32"/>
        </w:rPr>
        <w:t>工业企业用电量同比增长0.2%。</w:t>
      </w:r>
    </w:p>
    <w:p w14:paraId="3D19EB02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11月，高压用户完成通电64户，环比增长20.75%，通电容量14.3万千伏安，环比下降5.92%。低压非居完成通电2741户，环比增长6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94%，通电容量27248千伏安，环比增长4.13%。居民用户完成通电333户，环比下降17.78%，通电容量4737千伏安，环比下降17.46%。</w:t>
      </w:r>
    </w:p>
    <w:p w14:paraId="73406DF4">
      <w:pPr>
        <w:spacing w:line="560" w:lineRule="exact"/>
        <w:ind w:firstLine="640" w:firstLineChars="200"/>
        <w:rPr>
          <w:sz w:val="32"/>
          <w:szCs w:val="32"/>
          <w:highlight w:val="yellow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9F92EA3">
      <w:pPr>
        <w:spacing w:line="560" w:lineRule="exact"/>
        <w:ind w:firstLine="640" w:firstLineChars="200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一、我区整体用电情况</w:t>
      </w:r>
    </w:p>
    <w:p w14:paraId="0D14CA4E">
      <w:pPr>
        <w:spacing w:line="560" w:lineRule="exact"/>
        <w:ind w:firstLine="643" w:firstLineChars="200"/>
        <w:outlineLvl w:val="1"/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32"/>
        </w:rPr>
        <w:t>（一）全社会用电量</w:t>
      </w:r>
    </w:p>
    <w:p w14:paraId="7CAE8025">
      <w:pPr>
        <w:spacing w:line="560" w:lineRule="exact"/>
        <w:ind w:firstLine="643" w:firstLineChars="200"/>
        <w:outlineLvl w:val="2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1.当月用电量</w:t>
      </w:r>
    </w:p>
    <w:p w14:paraId="6858591C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11月，全社会用电量同比有所增长。我区全社会用电量18.71亿千瓦时，同比增长3.9%。其中，第二产业用电量12.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33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亿千瓦时，同比增长2.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%；第三产业用电量4.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23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亿千瓦时，同比增长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5.4</w:t>
      </w:r>
      <w:r>
        <w:rPr>
          <w:rFonts w:hint="eastAsia" w:ascii="仿宋_GB2312" w:hAnsi="仿宋_GB2312" w:eastAsia="仿宋_GB2312" w:cs="仿宋_GB2312"/>
          <w:sz w:val="32"/>
          <w:szCs w:val="32"/>
        </w:rPr>
        <w:t>%。</w:t>
      </w:r>
    </w:p>
    <w:p w14:paraId="6B7D7E1D">
      <w:pPr>
        <w:jc w:val="center"/>
      </w:pPr>
      <w:r>
        <w:drawing>
          <wp:inline distT="0" distB="0" distL="114300" distR="114300">
            <wp:extent cx="5269230" cy="2264410"/>
            <wp:effectExtent l="4445" t="4445" r="9525" b="1714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AE76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图1  全社会用电量及同比逐月情况（11月）</w:t>
      </w:r>
    </w:p>
    <w:p w14:paraId="4F35D3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表1  11月用电量及同比情况</w:t>
      </w:r>
    </w:p>
    <w:tbl>
      <w:tblPr>
        <w:tblStyle w:val="7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385"/>
        <w:gridCol w:w="736"/>
        <w:gridCol w:w="738"/>
        <w:gridCol w:w="738"/>
        <w:gridCol w:w="738"/>
        <w:gridCol w:w="738"/>
        <w:gridCol w:w="738"/>
        <w:gridCol w:w="739"/>
      </w:tblGrid>
      <w:tr w14:paraId="14F32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028" w:type="dxa"/>
            <w:vMerge w:val="restart"/>
            <w:vAlign w:val="center"/>
          </w:tcPr>
          <w:p w14:paraId="00C8FCF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行业</w:t>
            </w:r>
          </w:p>
        </w:tc>
        <w:tc>
          <w:tcPr>
            <w:tcW w:w="1385" w:type="dxa"/>
            <w:vMerge w:val="restart"/>
            <w:vAlign w:val="center"/>
          </w:tcPr>
          <w:p w14:paraId="1498325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11月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用电量（亿千瓦时）</w:t>
            </w:r>
          </w:p>
        </w:tc>
        <w:tc>
          <w:tcPr>
            <w:tcW w:w="5165" w:type="dxa"/>
            <w:gridSpan w:val="7"/>
            <w:vAlign w:val="center"/>
          </w:tcPr>
          <w:p w14:paraId="499E2AC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11月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同比（%）</w:t>
            </w:r>
          </w:p>
        </w:tc>
      </w:tr>
      <w:tr w14:paraId="17597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028" w:type="dxa"/>
            <w:vMerge w:val="continue"/>
            <w:vAlign w:val="center"/>
          </w:tcPr>
          <w:p w14:paraId="3614946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1385" w:type="dxa"/>
            <w:vMerge w:val="continue"/>
            <w:vAlign w:val="center"/>
          </w:tcPr>
          <w:p w14:paraId="12665BD9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736" w:type="dxa"/>
            <w:vAlign w:val="center"/>
          </w:tcPr>
          <w:p w14:paraId="495B313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萧山</w:t>
            </w:r>
          </w:p>
        </w:tc>
        <w:tc>
          <w:tcPr>
            <w:tcW w:w="738" w:type="dxa"/>
            <w:vAlign w:val="center"/>
          </w:tcPr>
          <w:p w14:paraId="4611DC0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全市</w:t>
            </w:r>
          </w:p>
        </w:tc>
        <w:tc>
          <w:tcPr>
            <w:tcW w:w="738" w:type="dxa"/>
            <w:vAlign w:val="center"/>
          </w:tcPr>
          <w:p w14:paraId="34FFF4B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余杭</w:t>
            </w:r>
          </w:p>
        </w:tc>
        <w:tc>
          <w:tcPr>
            <w:tcW w:w="738" w:type="dxa"/>
            <w:vAlign w:val="center"/>
          </w:tcPr>
          <w:p w14:paraId="05CA5F0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临平</w:t>
            </w:r>
          </w:p>
        </w:tc>
        <w:tc>
          <w:tcPr>
            <w:tcW w:w="738" w:type="dxa"/>
            <w:vAlign w:val="center"/>
          </w:tcPr>
          <w:p w14:paraId="2C72B7C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钱塘</w:t>
            </w:r>
          </w:p>
        </w:tc>
        <w:tc>
          <w:tcPr>
            <w:tcW w:w="738" w:type="dxa"/>
            <w:vAlign w:val="center"/>
          </w:tcPr>
          <w:p w14:paraId="3FAD0CF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富阳</w:t>
            </w:r>
          </w:p>
        </w:tc>
        <w:tc>
          <w:tcPr>
            <w:tcW w:w="739" w:type="dxa"/>
            <w:vAlign w:val="center"/>
          </w:tcPr>
          <w:p w14:paraId="4B124C8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临安</w:t>
            </w:r>
          </w:p>
        </w:tc>
      </w:tr>
      <w:tr w14:paraId="74E49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28" w:type="dxa"/>
            <w:vAlign w:val="center"/>
          </w:tcPr>
          <w:p w14:paraId="71F8515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全社会用电量</w:t>
            </w:r>
          </w:p>
        </w:tc>
        <w:tc>
          <w:tcPr>
            <w:tcW w:w="1385" w:type="dxa"/>
            <w:vAlign w:val="center"/>
          </w:tcPr>
          <w:p w14:paraId="015EB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18.71</w:t>
            </w:r>
          </w:p>
        </w:tc>
        <w:tc>
          <w:tcPr>
            <w:tcW w:w="736" w:type="dxa"/>
            <w:vAlign w:val="center"/>
          </w:tcPr>
          <w:p w14:paraId="52CE9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3.9</w:t>
            </w:r>
          </w:p>
        </w:tc>
        <w:tc>
          <w:tcPr>
            <w:tcW w:w="738" w:type="dxa"/>
            <w:vAlign w:val="center"/>
          </w:tcPr>
          <w:p w14:paraId="6E750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</w:t>
            </w:r>
          </w:p>
        </w:tc>
        <w:tc>
          <w:tcPr>
            <w:tcW w:w="738" w:type="dxa"/>
            <w:vAlign w:val="center"/>
          </w:tcPr>
          <w:p w14:paraId="3650D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738" w:type="dxa"/>
            <w:vAlign w:val="center"/>
          </w:tcPr>
          <w:p w14:paraId="0F098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738" w:type="dxa"/>
            <w:vAlign w:val="center"/>
          </w:tcPr>
          <w:p w14:paraId="5ADBA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738" w:type="dxa"/>
            <w:vAlign w:val="center"/>
          </w:tcPr>
          <w:p w14:paraId="39CA3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6.1</w:t>
            </w:r>
          </w:p>
        </w:tc>
        <w:tc>
          <w:tcPr>
            <w:tcW w:w="739" w:type="dxa"/>
            <w:vAlign w:val="center"/>
          </w:tcPr>
          <w:p w14:paraId="6FA36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4.9</w:t>
            </w:r>
          </w:p>
        </w:tc>
      </w:tr>
      <w:tr w14:paraId="16F14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28" w:type="dxa"/>
            <w:vAlign w:val="center"/>
          </w:tcPr>
          <w:p w14:paraId="004668F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全行业用电量</w:t>
            </w:r>
          </w:p>
        </w:tc>
        <w:tc>
          <w:tcPr>
            <w:tcW w:w="1385" w:type="dxa"/>
            <w:vAlign w:val="center"/>
          </w:tcPr>
          <w:p w14:paraId="3297F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16.59</w:t>
            </w:r>
          </w:p>
        </w:tc>
        <w:tc>
          <w:tcPr>
            <w:tcW w:w="736" w:type="dxa"/>
            <w:vAlign w:val="center"/>
          </w:tcPr>
          <w:p w14:paraId="1BDD4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3.4</w:t>
            </w:r>
          </w:p>
        </w:tc>
        <w:tc>
          <w:tcPr>
            <w:tcW w:w="738" w:type="dxa"/>
            <w:vAlign w:val="center"/>
          </w:tcPr>
          <w:p w14:paraId="30F3C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</w:t>
            </w:r>
          </w:p>
        </w:tc>
        <w:tc>
          <w:tcPr>
            <w:tcW w:w="738" w:type="dxa"/>
            <w:vAlign w:val="center"/>
          </w:tcPr>
          <w:p w14:paraId="4FAC3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738" w:type="dxa"/>
            <w:vAlign w:val="center"/>
          </w:tcPr>
          <w:p w14:paraId="13396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738" w:type="dxa"/>
            <w:vAlign w:val="center"/>
          </w:tcPr>
          <w:p w14:paraId="4B097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2.2</w:t>
            </w:r>
          </w:p>
        </w:tc>
        <w:tc>
          <w:tcPr>
            <w:tcW w:w="738" w:type="dxa"/>
            <w:vAlign w:val="center"/>
          </w:tcPr>
          <w:p w14:paraId="31005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6.2</w:t>
            </w:r>
          </w:p>
        </w:tc>
        <w:tc>
          <w:tcPr>
            <w:tcW w:w="739" w:type="dxa"/>
            <w:vAlign w:val="center"/>
          </w:tcPr>
          <w:p w14:paraId="309B8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3.8</w:t>
            </w:r>
          </w:p>
        </w:tc>
      </w:tr>
      <w:tr w14:paraId="2A60C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28" w:type="dxa"/>
            <w:vAlign w:val="center"/>
          </w:tcPr>
          <w:p w14:paraId="1056FBA1">
            <w:pPr>
              <w:ind w:firstLine="210" w:firstLineChars="10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第一产业</w:t>
            </w:r>
          </w:p>
        </w:tc>
        <w:tc>
          <w:tcPr>
            <w:tcW w:w="1385" w:type="dxa"/>
            <w:vAlign w:val="center"/>
          </w:tcPr>
          <w:p w14:paraId="07020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</w:t>
            </w:r>
          </w:p>
        </w:tc>
        <w:tc>
          <w:tcPr>
            <w:tcW w:w="736" w:type="dxa"/>
            <w:vAlign w:val="center"/>
          </w:tcPr>
          <w:p w14:paraId="6BA0D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</w:t>
            </w:r>
          </w:p>
        </w:tc>
        <w:tc>
          <w:tcPr>
            <w:tcW w:w="738" w:type="dxa"/>
            <w:vAlign w:val="center"/>
          </w:tcPr>
          <w:p w14:paraId="60A59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</w:t>
            </w:r>
          </w:p>
        </w:tc>
        <w:tc>
          <w:tcPr>
            <w:tcW w:w="738" w:type="dxa"/>
            <w:vAlign w:val="center"/>
          </w:tcPr>
          <w:p w14:paraId="1675F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2.2</w:t>
            </w:r>
          </w:p>
        </w:tc>
        <w:tc>
          <w:tcPr>
            <w:tcW w:w="738" w:type="dxa"/>
            <w:vAlign w:val="center"/>
          </w:tcPr>
          <w:p w14:paraId="1E384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2.2</w:t>
            </w:r>
          </w:p>
        </w:tc>
        <w:tc>
          <w:tcPr>
            <w:tcW w:w="738" w:type="dxa"/>
            <w:vAlign w:val="center"/>
          </w:tcPr>
          <w:p w14:paraId="5EE41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</w:t>
            </w:r>
          </w:p>
        </w:tc>
        <w:tc>
          <w:tcPr>
            <w:tcW w:w="738" w:type="dxa"/>
            <w:vAlign w:val="center"/>
          </w:tcPr>
          <w:p w14:paraId="48C48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10.6</w:t>
            </w:r>
          </w:p>
        </w:tc>
        <w:tc>
          <w:tcPr>
            <w:tcW w:w="739" w:type="dxa"/>
            <w:vAlign w:val="center"/>
          </w:tcPr>
          <w:p w14:paraId="5209D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</w:t>
            </w:r>
          </w:p>
        </w:tc>
      </w:tr>
      <w:tr w14:paraId="0A5E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28" w:type="dxa"/>
            <w:vAlign w:val="center"/>
          </w:tcPr>
          <w:p w14:paraId="706DABE2">
            <w:pPr>
              <w:ind w:firstLine="210" w:firstLineChars="10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第二产业</w:t>
            </w:r>
          </w:p>
        </w:tc>
        <w:tc>
          <w:tcPr>
            <w:tcW w:w="1385" w:type="dxa"/>
            <w:vAlign w:val="center"/>
          </w:tcPr>
          <w:p w14:paraId="323D0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12.33</w:t>
            </w:r>
          </w:p>
        </w:tc>
        <w:tc>
          <w:tcPr>
            <w:tcW w:w="736" w:type="dxa"/>
            <w:vAlign w:val="center"/>
          </w:tcPr>
          <w:p w14:paraId="3CFD1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2.7</w:t>
            </w:r>
          </w:p>
        </w:tc>
        <w:tc>
          <w:tcPr>
            <w:tcW w:w="738" w:type="dxa"/>
            <w:vAlign w:val="center"/>
          </w:tcPr>
          <w:p w14:paraId="42E36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738" w:type="dxa"/>
            <w:vAlign w:val="center"/>
          </w:tcPr>
          <w:p w14:paraId="7BAFC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-2.5</w:t>
            </w:r>
          </w:p>
        </w:tc>
        <w:tc>
          <w:tcPr>
            <w:tcW w:w="738" w:type="dxa"/>
            <w:vAlign w:val="center"/>
          </w:tcPr>
          <w:p w14:paraId="3FCB9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-2.5</w:t>
            </w:r>
          </w:p>
        </w:tc>
        <w:tc>
          <w:tcPr>
            <w:tcW w:w="738" w:type="dxa"/>
            <w:vAlign w:val="center"/>
          </w:tcPr>
          <w:p w14:paraId="4A028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1.8</w:t>
            </w:r>
          </w:p>
        </w:tc>
        <w:tc>
          <w:tcPr>
            <w:tcW w:w="738" w:type="dxa"/>
            <w:vAlign w:val="center"/>
          </w:tcPr>
          <w:p w14:paraId="4A763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5.9</w:t>
            </w:r>
          </w:p>
        </w:tc>
        <w:tc>
          <w:tcPr>
            <w:tcW w:w="739" w:type="dxa"/>
            <w:vAlign w:val="center"/>
          </w:tcPr>
          <w:p w14:paraId="6C7A2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</w:tr>
      <w:tr w14:paraId="6E03F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28" w:type="dxa"/>
            <w:vAlign w:val="center"/>
          </w:tcPr>
          <w:p w14:paraId="0B4AEAA9">
            <w:pPr>
              <w:ind w:firstLine="210" w:firstLineChars="10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第三产业</w:t>
            </w:r>
          </w:p>
        </w:tc>
        <w:tc>
          <w:tcPr>
            <w:tcW w:w="1385" w:type="dxa"/>
            <w:vAlign w:val="center"/>
          </w:tcPr>
          <w:p w14:paraId="5D42A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4.23</w:t>
            </w:r>
          </w:p>
        </w:tc>
        <w:tc>
          <w:tcPr>
            <w:tcW w:w="736" w:type="dxa"/>
            <w:vAlign w:val="center"/>
          </w:tcPr>
          <w:p w14:paraId="28833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5.4</w:t>
            </w:r>
          </w:p>
        </w:tc>
        <w:tc>
          <w:tcPr>
            <w:tcW w:w="738" w:type="dxa"/>
            <w:vAlign w:val="center"/>
          </w:tcPr>
          <w:p w14:paraId="0F791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6.3</w:t>
            </w:r>
          </w:p>
        </w:tc>
        <w:tc>
          <w:tcPr>
            <w:tcW w:w="738" w:type="dxa"/>
            <w:vAlign w:val="center"/>
          </w:tcPr>
          <w:p w14:paraId="4BEC8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12.9</w:t>
            </w:r>
          </w:p>
        </w:tc>
        <w:tc>
          <w:tcPr>
            <w:tcW w:w="738" w:type="dxa"/>
            <w:vAlign w:val="center"/>
          </w:tcPr>
          <w:p w14:paraId="1ABC6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12.9</w:t>
            </w:r>
          </w:p>
        </w:tc>
        <w:tc>
          <w:tcPr>
            <w:tcW w:w="738" w:type="dxa"/>
            <w:vAlign w:val="center"/>
          </w:tcPr>
          <w:p w14:paraId="7E4C9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4.8</w:t>
            </w:r>
          </w:p>
        </w:tc>
        <w:tc>
          <w:tcPr>
            <w:tcW w:w="738" w:type="dxa"/>
            <w:vAlign w:val="center"/>
          </w:tcPr>
          <w:p w14:paraId="045C4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</w:t>
            </w:r>
          </w:p>
        </w:tc>
        <w:tc>
          <w:tcPr>
            <w:tcW w:w="739" w:type="dxa"/>
            <w:vAlign w:val="center"/>
          </w:tcPr>
          <w:p w14:paraId="63155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7.9</w:t>
            </w:r>
          </w:p>
        </w:tc>
      </w:tr>
      <w:tr w14:paraId="73E42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28" w:type="dxa"/>
            <w:vAlign w:val="center"/>
          </w:tcPr>
          <w:p w14:paraId="0A32DCA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居民生活用电量</w:t>
            </w:r>
          </w:p>
        </w:tc>
        <w:tc>
          <w:tcPr>
            <w:tcW w:w="1385" w:type="dxa"/>
            <w:vAlign w:val="center"/>
          </w:tcPr>
          <w:p w14:paraId="6B22C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2.12</w:t>
            </w:r>
          </w:p>
        </w:tc>
        <w:tc>
          <w:tcPr>
            <w:tcW w:w="736" w:type="dxa"/>
            <w:vAlign w:val="center"/>
          </w:tcPr>
          <w:p w14:paraId="35063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7.9</w:t>
            </w:r>
          </w:p>
        </w:tc>
        <w:tc>
          <w:tcPr>
            <w:tcW w:w="738" w:type="dxa"/>
            <w:vAlign w:val="center"/>
          </w:tcPr>
          <w:p w14:paraId="11C10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4.2</w:t>
            </w:r>
          </w:p>
        </w:tc>
        <w:tc>
          <w:tcPr>
            <w:tcW w:w="738" w:type="dxa"/>
            <w:vAlign w:val="center"/>
          </w:tcPr>
          <w:p w14:paraId="61648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</w:t>
            </w:r>
          </w:p>
        </w:tc>
        <w:tc>
          <w:tcPr>
            <w:tcW w:w="738" w:type="dxa"/>
            <w:vAlign w:val="center"/>
          </w:tcPr>
          <w:p w14:paraId="1217C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</w:t>
            </w:r>
          </w:p>
        </w:tc>
        <w:tc>
          <w:tcPr>
            <w:tcW w:w="738" w:type="dxa"/>
            <w:vAlign w:val="center"/>
          </w:tcPr>
          <w:p w14:paraId="62F32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6.2</w:t>
            </w:r>
          </w:p>
        </w:tc>
        <w:tc>
          <w:tcPr>
            <w:tcW w:w="738" w:type="dxa"/>
            <w:vAlign w:val="center"/>
          </w:tcPr>
          <w:p w14:paraId="06690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5.6</w:t>
            </w:r>
          </w:p>
        </w:tc>
        <w:tc>
          <w:tcPr>
            <w:tcW w:w="739" w:type="dxa"/>
            <w:vAlign w:val="center"/>
          </w:tcPr>
          <w:p w14:paraId="703C6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微软雅黑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</w:tr>
    </w:tbl>
    <w:p w14:paraId="77BB5029">
      <w:pPr>
        <w:rPr>
          <w:rFonts w:hint="eastAsia"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备注：</w:t>
      </w:r>
      <w:r>
        <w:rPr>
          <w:rFonts w:hint="eastAsia" w:ascii="仿宋_GB2312" w:hAnsi="仿宋_GB2312" w:eastAsia="仿宋_GB2312" w:cs="仿宋_GB2312"/>
          <w:sz w:val="24"/>
        </w:rPr>
        <w:t>表中红色加粗数值为同类比较最优，下同。</w:t>
      </w:r>
    </w:p>
    <w:p w14:paraId="0EB75631">
      <w:pPr>
        <w:spacing w:line="560" w:lineRule="exact"/>
        <w:ind w:firstLine="643" w:firstLineChars="200"/>
        <w:outlineLvl w:val="2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2.当年用电量</w:t>
      </w:r>
    </w:p>
    <w:p w14:paraId="0BA4B19D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今年（1月至11月），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我区全社会年度用电量221.1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同比增长7.4%</w:t>
      </w:r>
      <w:r>
        <w:rPr>
          <w:rFonts w:hint="eastAsia" w:ascii="仿宋_GB2312" w:hAnsi="仿宋_GB2312" w:eastAsia="仿宋_GB2312" w:cs="仿宋_GB2312"/>
          <w:sz w:val="32"/>
          <w:szCs w:val="32"/>
        </w:rPr>
        <w:t>。其中，第二产业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年度</w:t>
      </w:r>
      <w:r>
        <w:rPr>
          <w:rFonts w:hint="eastAsia" w:ascii="仿宋_GB2312" w:hAnsi="仿宋_GB2312" w:eastAsia="仿宋_GB2312" w:cs="仿宋_GB2312"/>
          <w:sz w:val="32"/>
          <w:szCs w:val="32"/>
        </w:rPr>
        <w:t>用电量131.1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同比增长3.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%</w:t>
      </w:r>
      <w:r>
        <w:rPr>
          <w:rFonts w:hint="eastAsia" w:ascii="仿宋_GB2312" w:hAnsi="仿宋_GB2312" w:eastAsia="仿宋_GB2312" w:cs="仿宋_GB2312"/>
          <w:sz w:val="32"/>
          <w:szCs w:val="32"/>
        </w:rPr>
        <w:t>；第三产业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年度</w:t>
      </w:r>
      <w:r>
        <w:rPr>
          <w:rFonts w:hint="eastAsia" w:ascii="仿宋_GB2312" w:hAnsi="仿宋_GB2312" w:eastAsia="仿宋_GB2312" w:cs="仿宋_GB2312"/>
          <w:sz w:val="32"/>
          <w:szCs w:val="32"/>
        </w:rPr>
        <w:t>用电量55.2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同比增长10.5%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 w14:paraId="54A940E7">
      <w:pPr>
        <w:spacing w:before="156" w:beforeLines="5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表</w:t>
      </w:r>
      <w:r>
        <w:rPr>
          <w:rFonts w:hint="eastAsia" w:ascii="Times New Roman" w:hAnsi="Times New Roman"/>
          <w:b/>
          <w:sz w:val="24"/>
        </w:rPr>
        <w:t>2  1-11月</w:t>
      </w:r>
      <w:r>
        <w:rPr>
          <w:rFonts w:ascii="Times New Roman" w:hAnsi="Times New Roman"/>
          <w:b/>
          <w:sz w:val="24"/>
        </w:rPr>
        <w:t>用电量及同比情况</w:t>
      </w:r>
    </w:p>
    <w:tbl>
      <w:tblPr>
        <w:tblStyle w:val="7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571"/>
        <w:gridCol w:w="747"/>
        <w:gridCol w:w="748"/>
        <w:gridCol w:w="748"/>
        <w:gridCol w:w="748"/>
        <w:gridCol w:w="749"/>
        <w:gridCol w:w="749"/>
        <w:gridCol w:w="749"/>
      </w:tblGrid>
      <w:tr w14:paraId="0FB7D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750" w:type="dxa"/>
            <w:vMerge w:val="restart"/>
            <w:vAlign w:val="center"/>
          </w:tcPr>
          <w:p w14:paraId="4DF2ABE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1571" w:type="dxa"/>
            <w:vMerge w:val="restart"/>
            <w:vAlign w:val="center"/>
          </w:tcPr>
          <w:p w14:paraId="3C97F1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1-11月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用电量（亿千瓦时）</w:t>
            </w:r>
          </w:p>
        </w:tc>
        <w:tc>
          <w:tcPr>
            <w:tcW w:w="5238" w:type="dxa"/>
            <w:gridSpan w:val="7"/>
            <w:vAlign w:val="center"/>
          </w:tcPr>
          <w:p w14:paraId="2E1E72C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1-11月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同比（%）</w:t>
            </w:r>
          </w:p>
        </w:tc>
      </w:tr>
      <w:tr w14:paraId="11357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50" w:type="dxa"/>
            <w:vMerge w:val="continue"/>
            <w:vAlign w:val="center"/>
          </w:tcPr>
          <w:p w14:paraId="7A2FBF2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1571" w:type="dxa"/>
            <w:vMerge w:val="continue"/>
            <w:vAlign w:val="center"/>
          </w:tcPr>
          <w:p w14:paraId="6605DC9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747" w:type="dxa"/>
            <w:vAlign w:val="center"/>
          </w:tcPr>
          <w:p w14:paraId="45AFEBE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萧山</w:t>
            </w:r>
          </w:p>
        </w:tc>
        <w:tc>
          <w:tcPr>
            <w:tcW w:w="748" w:type="dxa"/>
            <w:vAlign w:val="center"/>
          </w:tcPr>
          <w:p w14:paraId="1E1E13F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全市</w:t>
            </w:r>
          </w:p>
        </w:tc>
        <w:tc>
          <w:tcPr>
            <w:tcW w:w="748" w:type="dxa"/>
            <w:vAlign w:val="center"/>
          </w:tcPr>
          <w:p w14:paraId="577401E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kern w:val="0"/>
                <w:szCs w:val="21"/>
              </w:rPr>
              <w:t>余杭</w:t>
            </w:r>
          </w:p>
        </w:tc>
        <w:tc>
          <w:tcPr>
            <w:tcW w:w="748" w:type="dxa"/>
            <w:vAlign w:val="center"/>
          </w:tcPr>
          <w:p w14:paraId="74A62DD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kern w:val="0"/>
                <w:szCs w:val="21"/>
              </w:rPr>
              <w:t>临平</w:t>
            </w:r>
          </w:p>
        </w:tc>
        <w:tc>
          <w:tcPr>
            <w:tcW w:w="749" w:type="dxa"/>
            <w:vAlign w:val="center"/>
          </w:tcPr>
          <w:p w14:paraId="1AAEF4D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kern w:val="0"/>
                <w:szCs w:val="21"/>
              </w:rPr>
              <w:t>钱塘</w:t>
            </w:r>
          </w:p>
        </w:tc>
        <w:tc>
          <w:tcPr>
            <w:tcW w:w="749" w:type="dxa"/>
            <w:vAlign w:val="center"/>
          </w:tcPr>
          <w:p w14:paraId="7A8CA4D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kern w:val="0"/>
                <w:szCs w:val="21"/>
              </w:rPr>
              <w:t>富阳</w:t>
            </w:r>
          </w:p>
        </w:tc>
        <w:tc>
          <w:tcPr>
            <w:tcW w:w="749" w:type="dxa"/>
            <w:vAlign w:val="center"/>
          </w:tcPr>
          <w:p w14:paraId="51F94A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kern w:val="0"/>
                <w:szCs w:val="21"/>
              </w:rPr>
              <w:t>临安</w:t>
            </w:r>
          </w:p>
        </w:tc>
      </w:tr>
      <w:tr w14:paraId="12EE4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75EEDDA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全社会用电量</w:t>
            </w:r>
          </w:p>
        </w:tc>
        <w:tc>
          <w:tcPr>
            <w:tcW w:w="1571" w:type="dxa"/>
            <w:vAlign w:val="center"/>
          </w:tcPr>
          <w:p w14:paraId="40E61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221.17</w:t>
            </w:r>
          </w:p>
        </w:tc>
        <w:tc>
          <w:tcPr>
            <w:tcW w:w="747" w:type="dxa"/>
            <w:vAlign w:val="center"/>
          </w:tcPr>
          <w:p w14:paraId="111D0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</w:t>
            </w:r>
          </w:p>
        </w:tc>
        <w:tc>
          <w:tcPr>
            <w:tcW w:w="748" w:type="dxa"/>
            <w:vAlign w:val="center"/>
          </w:tcPr>
          <w:p w14:paraId="42A1E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</w:t>
            </w:r>
          </w:p>
        </w:tc>
        <w:tc>
          <w:tcPr>
            <w:tcW w:w="748" w:type="dxa"/>
            <w:vAlign w:val="center"/>
          </w:tcPr>
          <w:p w14:paraId="5D661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14.1</w:t>
            </w:r>
          </w:p>
        </w:tc>
        <w:tc>
          <w:tcPr>
            <w:tcW w:w="748" w:type="dxa"/>
            <w:vAlign w:val="center"/>
          </w:tcPr>
          <w:p w14:paraId="4DDBC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14.1</w:t>
            </w:r>
          </w:p>
        </w:tc>
        <w:tc>
          <w:tcPr>
            <w:tcW w:w="749" w:type="dxa"/>
            <w:vAlign w:val="center"/>
          </w:tcPr>
          <w:p w14:paraId="4F522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  <w:tc>
          <w:tcPr>
            <w:tcW w:w="749" w:type="dxa"/>
            <w:vAlign w:val="center"/>
          </w:tcPr>
          <w:p w14:paraId="7EE258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</w:t>
            </w:r>
          </w:p>
        </w:tc>
        <w:tc>
          <w:tcPr>
            <w:tcW w:w="749" w:type="dxa"/>
            <w:vAlign w:val="center"/>
          </w:tcPr>
          <w:p w14:paraId="71D53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9.5</w:t>
            </w:r>
          </w:p>
        </w:tc>
      </w:tr>
      <w:tr w14:paraId="6C38F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473AE5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全行业用电量</w:t>
            </w:r>
          </w:p>
        </w:tc>
        <w:tc>
          <w:tcPr>
            <w:tcW w:w="1571" w:type="dxa"/>
            <w:vAlign w:val="center"/>
          </w:tcPr>
          <w:p w14:paraId="56773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186.74</w:t>
            </w:r>
          </w:p>
        </w:tc>
        <w:tc>
          <w:tcPr>
            <w:tcW w:w="747" w:type="dxa"/>
            <w:vAlign w:val="center"/>
          </w:tcPr>
          <w:p w14:paraId="343468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5.2</w:t>
            </w:r>
          </w:p>
        </w:tc>
        <w:tc>
          <w:tcPr>
            <w:tcW w:w="748" w:type="dxa"/>
            <w:vAlign w:val="center"/>
          </w:tcPr>
          <w:p w14:paraId="20C81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</w:t>
            </w:r>
          </w:p>
        </w:tc>
        <w:tc>
          <w:tcPr>
            <w:tcW w:w="748" w:type="dxa"/>
            <w:vAlign w:val="center"/>
          </w:tcPr>
          <w:p w14:paraId="62DEF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11.8</w:t>
            </w:r>
          </w:p>
        </w:tc>
        <w:tc>
          <w:tcPr>
            <w:tcW w:w="748" w:type="dxa"/>
            <w:vAlign w:val="center"/>
          </w:tcPr>
          <w:p w14:paraId="3522A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11.8</w:t>
            </w:r>
          </w:p>
        </w:tc>
        <w:tc>
          <w:tcPr>
            <w:tcW w:w="749" w:type="dxa"/>
            <w:vAlign w:val="center"/>
          </w:tcPr>
          <w:p w14:paraId="700F2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6.4</w:t>
            </w:r>
          </w:p>
        </w:tc>
        <w:tc>
          <w:tcPr>
            <w:tcW w:w="749" w:type="dxa"/>
            <w:vAlign w:val="center"/>
          </w:tcPr>
          <w:p w14:paraId="504F8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749" w:type="dxa"/>
            <w:vAlign w:val="center"/>
          </w:tcPr>
          <w:p w14:paraId="4C06F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</w:tr>
      <w:tr w14:paraId="05D09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426A0823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第一产业</w:t>
            </w:r>
          </w:p>
        </w:tc>
        <w:tc>
          <w:tcPr>
            <w:tcW w:w="1571" w:type="dxa"/>
            <w:vAlign w:val="center"/>
          </w:tcPr>
          <w:p w14:paraId="21B24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</w:tc>
        <w:tc>
          <w:tcPr>
            <w:tcW w:w="747" w:type="dxa"/>
            <w:vAlign w:val="center"/>
          </w:tcPr>
          <w:p w14:paraId="0FBC8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</w:t>
            </w:r>
          </w:p>
        </w:tc>
        <w:tc>
          <w:tcPr>
            <w:tcW w:w="748" w:type="dxa"/>
            <w:vAlign w:val="center"/>
          </w:tcPr>
          <w:p w14:paraId="581E6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5.9</w:t>
            </w:r>
          </w:p>
        </w:tc>
        <w:tc>
          <w:tcPr>
            <w:tcW w:w="748" w:type="dxa"/>
            <w:vAlign w:val="center"/>
          </w:tcPr>
          <w:p w14:paraId="69349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4.4</w:t>
            </w:r>
          </w:p>
        </w:tc>
        <w:tc>
          <w:tcPr>
            <w:tcW w:w="748" w:type="dxa"/>
            <w:vAlign w:val="center"/>
          </w:tcPr>
          <w:p w14:paraId="68DF2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4.4</w:t>
            </w:r>
          </w:p>
        </w:tc>
        <w:tc>
          <w:tcPr>
            <w:tcW w:w="749" w:type="dxa"/>
            <w:vAlign w:val="center"/>
          </w:tcPr>
          <w:p w14:paraId="522E0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</w:t>
            </w:r>
          </w:p>
        </w:tc>
        <w:tc>
          <w:tcPr>
            <w:tcW w:w="749" w:type="dxa"/>
            <w:vAlign w:val="center"/>
          </w:tcPr>
          <w:p w14:paraId="3D735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25.1</w:t>
            </w:r>
          </w:p>
        </w:tc>
        <w:tc>
          <w:tcPr>
            <w:tcW w:w="749" w:type="dxa"/>
            <w:vAlign w:val="center"/>
          </w:tcPr>
          <w:p w14:paraId="1A757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17.5</w:t>
            </w:r>
          </w:p>
        </w:tc>
      </w:tr>
      <w:tr w14:paraId="0A710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1B5BAAA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第二产业</w:t>
            </w:r>
          </w:p>
        </w:tc>
        <w:tc>
          <w:tcPr>
            <w:tcW w:w="1571" w:type="dxa"/>
            <w:vAlign w:val="center"/>
          </w:tcPr>
          <w:p w14:paraId="50037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131.18</w:t>
            </w:r>
          </w:p>
        </w:tc>
        <w:tc>
          <w:tcPr>
            <w:tcW w:w="747" w:type="dxa"/>
            <w:vAlign w:val="center"/>
          </w:tcPr>
          <w:p w14:paraId="3A692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3.2</w:t>
            </w:r>
          </w:p>
        </w:tc>
        <w:tc>
          <w:tcPr>
            <w:tcW w:w="748" w:type="dxa"/>
            <w:vAlign w:val="center"/>
          </w:tcPr>
          <w:p w14:paraId="570ED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4.4</w:t>
            </w:r>
          </w:p>
        </w:tc>
        <w:tc>
          <w:tcPr>
            <w:tcW w:w="748" w:type="dxa"/>
            <w:vAlign w:val="center"/>
          </w:tcPr>
          <w:p w14:paraId="51000F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1.7</w:t>
            </w:r>
          </w:p>
        </w:tc>
        <w:tc>
          <w:tcPr>
            <w:tcW w:w="748" w:type="dxa"/>
            <w:vAlign w:val="center"/>
          </w:tcPr>
          <w:p w14:paraId="13CAC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1.7</w:t>
            </w:r>
          </w:p>
        </w:tc>
        <w:tc>
          <w:tcPr>
            <w:tcW w:w="749" w:type="dxa"/>
            <w:vAlign w:val="center"/>
          </w:tcPr>
          <w:p w14:paraId="1EA72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6.1</w:t>
            </w:r>
          </w:p>
        </w:tc>
        <w:tc>
          <w:tcPr>
            <w:tcW w:w="749" w:type="dxa"/>
            <w:vAlign w:val="center"/>
          </w:tcPr>
          <w:p w14:paraId="5F4AE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749" w:type="dxa"/>
            <w:vAlign w:val="center"/>
          </w:tcPr>
          <w:p w14:paraId="28E61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</w:t>
            </w:r>
          </w:p>
        </w:tc>
      </w:tr>
      <w:tr w14:paraId="0336D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392EFC2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第三产业</w:t>
            </w:r>
          </w:p>
        </w:tc>
        <w:tc>
          <w:tcPr>
            <w:tcW w:w="1571" w:type="dxa"/>
            <w:vAlign w:val="center"/>
          </w:tcPr>
          <w:p w14:paraId="32FD4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55.24</w:t>
            </w:r>
          </w:p>
        </w:tc>
        <w:tc>
          <w:tcPr>
            <w:tcW w:w="747" w:type="dxa"/>
            <w:vAlign w:val="center"/>
          </w:tcPr>
          <w:p w14:paraId="6D3C3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  <w:tc>
          <w:tcPr>
            <w:tcW w:w="748" w:type="dxa"/>
            <w:vAlign w:val="center"/>
          </w:tcPr>
          <w:p w14:paraId="6E825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748" w:type="dxa"/>
            <w:vAlign w:val="center"/>
          </w:tcPr>
          <w:p w14:paraId="2E85A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18.6</w:t>
            </w:r>
          </w:p>
        </w:tc>
        <w:tc>
          <w:tcPr>
            <w:tcW w:w="748" w:type="dxa"/>
            <w:vAlign w:val="center"/>
          </w:tcPr>
          <w:p w14:paraId="027F0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18.6</w:t>
            </w:r>
          </w:p>
        </w:tc>
        <w:tc>
          <w:tcPr>
            <w:tcW w:w="749" w:type="dxa"/>
            <w:vAlign w:val="center"/>
          </w:tcPr>
          <w:p w14:paraId="055A5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9.0</w:t>
            </w:r>
          </w:p>
        </w:tc>
        <w:tc>
          <w:tcPr>
            <w:tcW w:w="749" w:type="dxa"/>
            <w:vAlign w:val="center"/>
          </w:tcPr>
          <w:p w14:paraId="006CF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749" w:type="dxa"/>
            <w:vAlign w:val="center"/>
          </w:tcPr>
          <w:p w14:paraId="7ED5F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15.4</w:t>
            </w:r>
          </w:p>
        </w:tc>
      </w:tr>
      <w:tr w14:paraId="46C3C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50" w:type="dxa"/>
            <w:vAlign w:val="center"/>
          </w:tcPr>
          <w:p w14:paraId="5938C5E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居民生活用电量</w:t>
            </w:r>
          </w:p>
        </w:tc>
        <w:tc>
          <w:tcPr>
            <w:tcW w:w="1571" w:type="dxa"/>
            <w:vAlign w:val="center"/>
          </w:tcPr>
          <w:p w14:paraId="5028A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34.43</w:t>
            </w:r>
          </w:p>
        </w:tc>
        <w:tc>
          <w:tcPr>
            <w:tcW w:w="747" w:type="dxa"/>
            <w:vAlign w:val="center"/>
          </w:tcPr>
          <w:p w14:paraId="323EA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20.7</w:t>
            </w:r>
          </w:p>
        </w:tc>
        <w:tc>
          <w:tcPr>
            <w:tcW w:w="748" w:type="dxa"/>
            <w:vAlign w:val="center"/>
          </w:tcPr>
          <w:p w14:paraId="5958C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17.1</w:t>
            </w:r>
          </w:p>
        </w:tc>
        <w:tc>
          <w:tcPr>
            <w:tcW w:w="748" w:type="dxa"/>
            <w:vAlign w:val="center"/>
          </w:tcPr>
          <w:p w14:paraId="58769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20.1</w:t>
            </w:r>
          </w:p>
        </w:tc>
        <w:tc>
          <w:tcPr>
            <w:tcW w:w="748" w:type="dxa"/>
            <w:vAlign w:val="center"/>
          </w:tcPr>
          <w:p w14:paraId="01019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20.1</w:t>
            </w:r>
          </w:p>
        </w:tc>
        <w:tc>
          <w:tcPr>
            <w:tcW w:w="749" w:type="dxa"/>
            <w:vAlign w:val="center"/>
          </w:tcPr>
          <w:p w14:paraId="73A97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20.3</w:t>
            </w:r>
          </w:p>
        </w:tc>
        <w:tc>
          <w:tcPr>
            <w:tcW w:w="749" w:type="dxa"/>
            <w:vAlign w:val="center"/>
          </w:tcPr>
          <w:p w14:paraId="54EC5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18.7</w:t>
            </w:r>
          </w:p>
        </w:tc>
        <w:tc>
          <w:tcPr>
            <w:tcW w:w="749" w:type="dxa"/>
            <w:vAlign w:val="center"/>
          </w:tcPr>
          <w:p w14:paraId="6E7EF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17.9</w:t>
            </w:r>
          </w:p>
        </w:tc>
      </w:tr>
    </w:tbl>
    <w:p w14:paraId="3903A00C">
      <w:pPr>
        <w:spacing w:line="560" w:lineRule="exact"/>
        <w:ind w:firstLine="643" w:firstLineChars="200"/>
        <w:outlineLvl w:val="1"/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32"/>
        </w:rPr>
        <w:t>（二）工业用电量</w:t>
      </w:r>
    </w:p>
    <w:p w14:paraId="60C2C0B1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11月，</w:t>
      </w:r>
      <w:r>
        <w:rPr>
          <w:rFonts w:hint="eastAsia" w:ascii="楷体_GB2312" w:hAnsi="楷体_GB2312" w:eastAsia="楷体_GB2312" w:cs="楷体_GB2312"/>
          <w:b/>
          <w:bCs/>
          <w:sz w:val="32"/>
          <w:szCs w:val="32"/>
        </w:rPr>
        <w:t>工业用电量同比有所增长</w:t>
      </w:r>
      <w:r>
        <w:rPr>
          <w:rFonts w:hint="eastAsia" w:ascii="仿宋_GB2312" w:hAnsi="仿宋_GB2312" w:eastAsia="仿宋_GB2312" w:cs="仿宋_GB2312"/>
          <w:sz w:val="32"/>
          <w:szCs w:val="32"/>
        </w:rPr>
        <w:t>。我区工业用电量12.0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同比增长2.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%，</w:t>
      </w:r>
      <w:r>
        <w:rPr>
          <w:rFonts w:hint="eastAsia" w:ascii="仿宋_GB2312" w:hAnsi="仿宋_GB2312" w:eastAsia="仿宋_GB2312" w:cs="仿宋_GB2312"/>
          <w:sz w:val="32"/>
          <w:szCs w:val="32"/>
        </w:rPr>
        <w:t>与全市增长率第一的富阳区相差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4.2</w:t>
      </w:r>
      <w:r>
        <w:rPr>
          <w:rFonts w:hint="eastAsia" w:ascii="仿宋_GB2312" w:hAnsi="仿宋_GB2312" w:eastAsia="仿宋_GB2312" w:cs="仿宋_GB2312"/>
          <w:sz w:val="32"/>
          <w:szCs w:val="32"/>
        </w:rPr>
        <w:t>个百分点。规上工业用电量8.60亿千瓦时，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同比增长4.0%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 w14:paraId="3F5DD141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11月全区工业用电量前十大行业电量10.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23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同比增长1.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%</w:t>
      </w:r>
      <w:r>
        <w:rPr>
          <w:rFonts w:hint="eastAsia" w:ascii="仿宋_GB2312" w:hAnsi="仿宋_GB2312" w:eastAsia="仿宋_GB2312" w:cs="仿宋_GB2312"/>
          <w:sz w:val="32"/>
          <w:szCs w:val="32"/>
        </w:rPr>
        <w:t>。其中，同比增长的有7个行业:纺织业（5.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%）；通用设备制造业（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2.6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 橡胶和塑料制品业（1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1.0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%）；汽车制造业（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9.4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%）；计算机、通信和其他电子设备制造业（41.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%）；非金属矿物制品业（11.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%）；纺织服装、服饰业（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5.3</w:t>
      </w:r>
      <w:r>
        <w:rPr>
          <w:rFonts w:hint="eastAsia" w:ascii="仿宋_GB2312" w:hAnsi="仿宋_GB2312" w:eastAsia="仿宋_GB2312" w:cs="仿宋_GB2312"/>
          <w:sz w:val="32"/>
          <w:szCs w:val="32"/>
        </w:rPr>
        <w:t>%）。同比下降的有3个行业：化学纤维制造业（-18.9%）；金属制品业（-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2.6</w:t>
      </w:r>
      <w:r>
        <w:rPr>
          <w:rFonts w:hint="eastAsia" w:ascii="仿宋_GB2312" w:hAnsi="仿宋_GB2312" w:eastAsia="仿宋_GB2312" w:cs="仿宋_GB2312"/>
          <w:sz w:val="32"/>
          <w:szCs w:val="32"/>
        </w:rPr>
        <w:t>%）；电气机械和器材制造业（-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1.9</w:t>
      </w:r>
      <w:r>
        <w:rPr>
          <w:rFonts w:hint="eastAsia" w:ascii="仿宋_GB2312" w:hAnsi="仿宋_GB2312" w:eastAsia="仿宋_GB2312" w:cs="仿宋_GB2312"/>
          <w:sz w:val="32"/>
          <w:szCs w:val="32"/>
        </w:rPr>
        <w:t>%）。</w:t>
      </w:r>
    </w:p>
    <w:p w14:paraId="11A1B9C7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3336194F"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page"/>
      </w:r>
    </w:p>
    <w:p w14:paraId="2857DA05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24"/>
        </w:rPr>
        <w:t>表</w:t>
      </w:r>
      <w:r>
        <w:rPr>
          <w:rFonts w:hint="eastAsia" w:ascii="Times New Roman" w:hAnsi="Times New Roman"/>
          <w:b/>
          <w:sz w:val="24"/>
        </w:rPr>
        <w:t>3  11月全区工业用电量前十大行业电量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799"/>
        <w:gridCol w:w="2330"/>
        <w:gridCol w:w="1535"/>
      </w:tblGrid>
      <w:tr w14:paraId="78870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A6EFDD9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序号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698125B9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行业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43FF82CC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11月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用电量</w:t>
            </w:r>
          </w:p>
          <w:p w14:paraId="19C03D0B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（单位：万千瓦时）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34936C15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同比（%）</w:t>
            </w:r>
          </w:p>
        </w:tc>
      </w:tr>
      <w:tr w14:paraId="2D7EA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95162A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582374A9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纺织业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BF83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54994.11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0C146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5.9</w:t>
            </w:r>
          </w:p>
        </w:tc>
      </w:tr>
      <w:tr w14:paraId="19A8F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ACB29A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6B43BAF1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化学纤维制造业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4DD2F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13569.28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5283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-18.9</w:t>
            </w:r>
          </w:p>
        </w:tc>
      </w:tr>
      <w:tr w14:paraId="43620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D13F41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7BC7555A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金属制品业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4E9C0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9278.11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1A16D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-2.6</w:t>
            </w:r>
          </w:p>
        </w:tc>
      </w:tr>
      <w:tr w14:paraId="4515B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509AB11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4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0F26756A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通用设备制造业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4D8FA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6565.03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B986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2.6</w:t>
            </w:r>
          </w:p>
        </w:tc>
      </w:tr>
      <w:tr w14:paraId="1054B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37793DB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5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7A2DCB82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橡胶和塑料制品业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11390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5863.21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A46E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</w:t>
            </w:r>
          </w:p>
        </w:tc>
      </w:tr>
      <w:tr w14:paraId="65D2F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51CDED7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6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667970CD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汽车制造业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44459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3908.02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3F13F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</w:t>
            </w:r>
          </w:p>
        </w:tc>
      </w:tr>
      <w:tr w14:paraId="165A2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18CB1E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7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69C8512C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电气机械和器材制造业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D5CD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2737.17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4F24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-1.9</w:t>
            </w:r>
          </w:p>
        </w:tc>
      </w:tr>
      <w:tr w14:paraId="74CE7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618E4E0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8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74183750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计算机、通信和其他电子设备制造业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57522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2147.33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1BA3D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41.8</w:t>
            </w:r>
          </w:p>
        </w:tc>
      </w:tr>
      <w:tr w14:paraId="22B82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16A912F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9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365FF2E4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非金属矿物制品业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6FB15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1612.36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0B57B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11.4</w:t>
            </w:r>
          </w:p>
        </w:tc>
      </w:tr>
      <w:tr w14:paraId="6D1A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2E50B74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10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 w14:paraId="0F11439A"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纺织服装、服饰业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416B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1593.35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005F9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</w:t>
            </w:r>
          </w:p>
        </w:tc>
      </w:tr>
      <w:tr w14:paraId="3B414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0B6600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合计</w:t>
            </w:r>
          </w:p>
        </w:tc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5A4A073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—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0E09A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102267.96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 w14:paraId="71B6C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1.6</w:t>
            </w:r>
          </w:p>
        </w:tc>
      </w:tr>
    </w:tbl>
    <w:p w14:paraId="57DABDA1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今年（1月至11月），我区工业年度用电量累计12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8.01</w:t>
      </w:r>
      <w:r>
        <w:rPr>
          <w:rFonts w:hint="eastAsia" w:ascii="仿宋_GB2312" w:hAnsi="仿宋_GB2312" w:eastAsia="仿宋_GB2312" w:cs="仿宋_GB2312"/>
          <w:sz w:val="32"/>
          <w:szCs w:val="32"/>
        </w:rPr>
        <w:t>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同比增长3.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%，</w:t>
      </w:r>
      <w:r>
        <w:rPr>
          <w:rFonts w:hint="eastAsia" w:ascii="仿宋_GB2312" w:hAnsi="仿宋_GB2312" w:eastAsia="仿宋_GB2312" w:cs="仿宋_GB2312"/>
          <w:sz w:val="32"/>
          <w:szCs w:val="32"/>
        </w:rPr>
        <w:t>与全市增长率第一的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钱塘</w:t>
      </w:r>
      <w:r>
        <w:rPr>
          <w:rFonts w:hint="eastAsia" w:ascii="仿宋_GB2312" w:hAnsi="仿宋_GB2312" w:eastAsia="仿宋_GB2312" w:cs="仿宋_GB2312"/>
          <w:sz w:val="32"/>
          <w:szCs w:val="32"/>
        </w:rPr>
        <w:t>区相差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3.1</w:t>
      </w:r>
      <w:r>
        <w:rPr>
          <w:rFonts w:hint="eastAsia" w:ascii="仿宋_GB2312" w:hAnsi="仿宋_GB2312" w:eastAsia="仿宋_GB2312" w:cs="仿宋_GB2312"/>
          <w:sz w:val="32"/>
          <w:szCs w:val="32"/>
        </w:rPr>
        <w:t>个百分点。</w:t>
      </w:r>
      <w:r>
        <w:rPr>
          <w:rFonts w:hint="eastAsia" w:ascii="仿宋_GB2312" w:hAnsi="仿宋_GB2312" w:eastAsia="仿宋_GB2312"/>
          <w:sz w:val="32"/>
        </w:rPr>
        <w:t>规上工业累计用电量93.81亿千瓦时，</w:t>
      </w:r>
      <w:r>
        <w:rPr>
          <w:rFonts w:hint="eastAsia" w:ascii="仿宋_GB2312" w:hAnsi="仿宋_GB2312" w:eastAsia="仿宋_GB2312"/>
          <w:b/>
          <w:bCs/>
          <w:sz w:val="32"/>
        </w:rPr>
        <w:t>同比增长3.5%</w:t>
      </w:r>
      <w:r>
        <w:rPr>
          <w:rFonts w:hint="eastAsia" w:ascii="仿宋_GB2312" w:hAnsi="仿宋_GB2312" w:eastAsia="仿宋_GB2312"/>
          <w:sz w:val="32"/>
        </w:rPr>
        <w:t>。</w:t>
      </w:r>
    </w:p>
    <w:p w14:paraId="12D02CF1">
      <w:pPr>
        <w:rPr>
          <w:highlight w:val="yellow"/>
        </w:rPr>
      </w:pPr>
      <w:r>
        <w:drawing>
          <wp:inline distT="0" distB="0" distL="114300" distR="114300">
            <wp:extent cx="5271135" cy="2225040"/>
            <wp:effectExtent l="4445" t="4445" r="7620" b="571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7F890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图</w:t>
      </w:r>
      <w:r>
        <w:rPr>
          <w:rFonts w:hint="eastAsia" w:ascii="Times New Roman" w:hAnsi="Times New Roman" w:cs="Times New Roman"/>
          <w:b/>
          <w:sz w:val="24"/>
        </w:rPr>
        <w:t>2 工业</w:t>
      </w:r>
      <w:r>
        <w:rPr>
          <w:rFonts w:ascii="Times New Roman" w:hAnsi="Times New Roman" w:cs="Times New Roman"/>
          <w:b/>
          <w:sz w:val="24"/>
        </w:rPr>
        <w:t>用电量及同比逐月情况</w:t>
      </w:r>
      <w:r>
        <w:rPr>
          <w:rFonts w:hint="eastAsia" w:ascii="Times New Roman" w:hAnsi="Times New Roman" w:cs="Times New Roman"/>
          <w:b/>
          <w:sz w:val="24"/>
        </w:rPr>
        <w:t>（11月）</w:t>
      </w:r>
    </w:p>
    <w:p w14:paraId="5007595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表</w:t>
      </w:r>
      <w:r>
        <w:rPr>
          <w:rFonts w:hint="eastAsia" w:ascii="Times New Roman" w:hAnsi="Times New Roman" w:cs="Times New Roman"/>
          <w:b/>
          <w:sz w:val="24"/>
        </w:rPr>
        <w:t>4  1-11月工业</w:t>
      </w:r>
      <w:r>
        <w:rPr>
          <w:rFonts w:ascii="Times New Roman" w:hAnsi="Times New Roman" w:cs="Times New Roman"/>
          <w:b/>
          <w:sz w:val="24"/>
        </w:rPr>
        <w:t>用电量及同比情况</w:t>
      </w:r>
    </w:p>
    <w:tbl>
      <w:tblPr>
        <w:tblStyle w:val="6"/>
        <w:tblW w:w="83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848"/>
        <w:gridCol w:w="715"/>
        <w:gridCol w:w="793"/>
        <w:gridCol w:w="792"/>
        <w:gridCol w:w="793"/>
        <w:gridCol w:w="792"/>
        <w:gridCol w:w="801"/>
        <w:gridCol w:w="784"/>
      </w:tblGrid>
      <w:tr w14:paraId="4C1FC1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0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517BD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8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74EC9D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萧山工业用电量</w:t>
            </w:r>
          </w:p>
          <w:p w14:paraId="76B3419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（亿千瓦时）</w:t>
            </w:r>
          </w:p>
        </w:tc>
        <w:tc>
          <w:tcPr>
            <w:tcW w:w="547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CFBE3A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同比（%）</w:t>
            </w:r>
          </w:p>
        </w:tc>
      </w:tr>
      <w:tr w14:paraId="1FA53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0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49F112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84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CDDB87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A0AE5D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萧山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097308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全市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42163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余杭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B292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临平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B41D4D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钱塘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89CDFF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富阳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A2E2C8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临安</w:t>
            </w:r>
          </w:p>
        </w:tc>
      </w:tr>
      <w:tr w14:paraId="33A18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34F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</w:rPr>
              <w:t>11月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FC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12.07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C49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BE5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A42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-0.3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C55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-0.3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1CB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2.0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008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6.9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FA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3.0</w:t>
            </w:r>
          </w:p>
        </w:tc>
      </w:tr>
      <w:tr w14:paraId="3FA691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735668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1-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</w:rPr>
              <w:t>11月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1E1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128.01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E6C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2AD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5.0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73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0B3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625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6.3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91E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5.8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3E4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5.1</w:t>
            </w:r>
          </w:p>
        </w:tc>
      </w:tr>
    </w:tbl>
    <w:p w14:paraId="524CCE5C">
      <w:pPr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  <w:highlight w:val="yellow"/>
        </w:rPr>
      </w:pPr>
    </w:p>
    <w:p w14:paraId="403A13EA">
      <w:pPr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  <w:highlight w:val="yellow"/>
        </w:rPr>
      </w:pPr>
    </w:p>
    <w:p w14:paraId="7C9BADD3">
      <w:pPr>
        <w:spacing w:line="560" w:lineRule="exact"/>
        <w:ind w:firstLine="640" w:firstLineChars="200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二、重点企业用电情况</w:t>
      </w:r>
    </w:p>
    <w:p w14:paraId="79DDCAA5">
      <w:pPr>
        <w:spacing w:line="560" w:lineRule="exact"/>
        <w:ind w:firstLine="643" w:firstLineChars="200"/>
        <w:outlineLvl w:val="1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（一）按企业增加值维度分析</w:t>
      </w:r>
    </w:p>
    <w:p w14:paraId="627326C5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color w:val="0000FF"/>
          <w:sz w:val="32"/>
          <w:szCs w:val="32"/>
          <w:vertAlign w:val="subscript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11月，我区年增加值超2000万元以上的514家工业企业用电量7.12亿千瓦时，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同比增长3.7%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；</w:t>
      </w:r>
      <w:r>
        <w:rPr>
          <w:rFonts w:hint="eastAsia" w:ascii="仿宋_GB2312" w:hAnsi="仿宋_GB2312" w:eastAsia="仿宋_GB2312" w:cs="仿宋_GB2312"/>
          <w:sz w:val="32"/>
          <w:szCs w:val="32"/>
        </w:rPr>
        <w:t>我区年增加值超5000万元以上的244家工业企业用电量4.05亿千瓦时，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同比增长0.2%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；</w:t>
      </w:r>
      <w:r>
        <w:rPr>
          <w:rFonts w:hint="eastAsia" w:ascii="仿宋_GB2312" w:hAnsi="仿宋_GB2312" w:eastAsia="仿宋_GB2312" w:cs="仿宋_GB2312"/>
          <w:sz w:val="32"/>
          <w:szCs w:val="32"/>
        </w:rPr>
        <w:t>我区增加值前30的工业企业用电量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0.84亿千瓦时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，同比下降10.7%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（不含盛元增长32.7%）。</w:t>
      </w:r>
    </w:p>
    <w:p w14:paraId="314B4A2E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今年（1月至11月），我区年增加值超2000万元以上的514家工业企业累计用电量70.12亿千瓦时，</w:t>
      </w:r>
      <w:r>
        <w:rPr>
          <w:rFonts w:hint="eastAsia" w:ascii="仿宋_GB2312" w:hAnsi="仿宋_GB2312" w:eastAsia="仿宋_GB2312"/>
          <w:b/>
          <w:bCs/>
          <w:sz w:val="32"/>
        </w:rPr>
        <w:t>同比增长3.4%</w:t>
      </w:r>
      <w:r>
        <w:rPr>
          <w:rFonts w:hint="eastAsia" w:ascii="仿宋_GB2312" w:hAnsi="仿宋_GB2312" w:eastAsia="仿宋_GB2312" w:cs="仿宋_GB2312"/>
          <w:sz w:val="32"/>
          <w:szCs w:val="32"/>
        </w:rPr>
        <w:t>；我区年增加值超5000万元以上的244家工业企业累计用电量51.64亿千瓦时，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同比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增长1.0%</w:t>
      </w:r>
      <w:r>
        <w:rPr>
          <w:rFonts w:hint="eastAsia" w:ascii="仿宋_GB2312" w:hAnsi="仿宋_GB2312" w:eastAsia="仿宋_GB2312" w:cs="仿宋_GB2312"/>
          <w:sz w:val="32"/>
          <w:szCs w:val="32"/>
        </w:rPr>
        <w:t>；我区增加值前30的工业企业累计用电量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8.47亿千瓦时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，同比下降8.0%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 w14:paraId="0B263D02">
      <w:pPr>
        <w:spacing w:line="560" w:lineRule="exact"/>
        <w:ind w:firstLine="643" w:firstLineChars="200"/>
        <w:outlineLvl w:val="1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（二）按企业电压等级分析</w:t>
      </w:r>
    </w:p>
    <w:p w14:paraId="43AFD6E6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highlight w:val="yellow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我区110千伏工业用户3家、35千伏工业用户30家，11月合计用电量2.93亿千瓦时（占工业比重24.4%），同比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增长1.2%</w:t>
      </w:r>
      <w:r>
        <w:rPr>
          <w:rFonts w:hint="eastAsia" w:ascii="仿宋_GB2312" w:hAnsi="仿宋_GB2312" w:eastAsia="仿宋_GB2312" w:cs="仿宋_GB2312"/>
          <w:sz w:val="32"/>
          <w:szCs w:val="32"/>
        </w:rPr>
        <w:t>，环比增加2.1%。其中，同比增加企业22家，同比下降企业11家。</w:t>
      </w:r>
    </w:p>
    <w:p w14:paraId="24430FB4">
      <w:pPr>
        <w:widowControl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396B2F3C">
      <w:pPr>
        <w:widowControl/>
        <w:jc w:val="left"/>
        <w:outlineLvl w:val="0"/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附表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t>1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：我区各镇街平台规上工业企业用电情况（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t>11月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）</w:t>
      </w:r>
    </w:p>
    <w:p w14:paraId="51A5437F">
      <w:pPr>
        <w:widowControl/>
        <w:jc w:val="left"/>
        <w:outlineLvl w:val="0"/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附表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t>2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：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t>我区35千伏以上企业用电情况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（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t>11月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</w:rPr>
        <w:t>）</w:t>
      </w:r>
    </w:p>
    <w:p w14:paraId="250CDA51">
      <w:pPr>
        <w:widowControl/>
        <w:jc w:val="left"/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</w:pP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</w:rPr>
        <w:br w:type="page"/>
      </w:r>
    </w:p>
    <w:p w14:paraId="6231F2DC">
      <w:pPr>
        <w:widowControl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附表1</w:t>
      </w:r>
      <w:bookmarkStart w:id="0" w:name="_GoBack"/>
      <w:bookmarkEnd w:id="0"/>
    </w:p>
    <w:p w14:paraId="06F5C206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我区各镇街平台规上工业企业用电情况（11月）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2693"/>
        <w:gridCol w:w="3279"/>
      </w:tblGrid>
      <w:tr w14:paraId="5281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96C214E">
            <w:pPr>
              <w:jc w:val="center"/>
              <w:rPr>
                <w:rFonts w:ascii="Times New Roman" w:hAnsi="Times New Roman" w:eastAsia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序号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CC0A9F7">
            <w:pPr>
              <w:jc w:val="center"/>
              <w:rPr>
                <w:rFonts w:ascii="Times New Roman" w:hAnsi="Times New Roman" w:eastAsia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镇街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7607CD87">
            <w:pPr>
              <w:jc w:val="center"/>
              <w:rPr>
                <w:rFonts w:ascii="Times New Roman" w:hAnsi="Times New Roman" w:eastAsia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11月</w:t>
            </w:r>
            <w:r>
              <w:rPr>
                <w:rFonts w:ascii="Times New Roman" w:hAnsi="Times New Roman" w:cs="Times New Roman"/>
                <w:b/>
                <w:szCs w:val="21"/>
              </w:rPr>
              <w:t>用电量（万千瓦时）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3819127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同比（%）</w:t>
            </w:r>
          </w:p>
          <w:p w14:paraId="285B1E0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（同企业对比，不含新增企业）</w:t>
            </w:r>
          </w:p>
        </w:tc>
      </w:tr>
      <w:tr w14:paraId="2B35F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2AD467E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5C337CA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瓜沥镇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5A4B04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21173.39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76ED4C7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3.9%</w:t>
            </w:r>
          </w:p>
        </w:tc>
      </w:tr>
      <w:tr w14:paraId="602A8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127D00B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27F218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衙前镇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6D742C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19351.26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E80872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-3.1%</w:t>
            </w:r>
          </w:p>
        </w:tc>
      </w:tr>
      <w:tr w14:paraId="4487C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4A7F654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479E3B9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益农镇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F252C3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6980.91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5E941D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-21.5%（不含盛元4.0%）</w:t>
            </w:r>
          </w:p>
        </w:tc>
      </w:tr>
      <w:tr w14:paraId="3269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4ABE0296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45ECA9E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开发区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22840F1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5821.96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748736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14.5%</w:t>
            </w:r>
          </w:p>
        </w:tc>
      </w:tr>
      <w:tr w14:paraId="728C8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939630D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5EF2366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靖江街道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77C3E37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2471.09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1E4678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3.0%</w:t>
            </w:r>
          </w:p>
        </w:tc>
      </w:tr>
      <w:tr w14:paraId="3DF93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65AD390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4C6E585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宁围街道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2098156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2747.47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C1A3E0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-6.4%</w:t>
            </w:r>
          </w:p>
        </w:tc>
      </w:tr>
      <w:tr w14:paraId="05757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BD96473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0FA9C64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红山农场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3B81123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1498.25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24CA9B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-53.1%</w:t>
            </w:r>
          </w:p>
        </w:tc>
      </w:tr>
      <w:tr w14:paraId="3288F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43053EFF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7F81892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义桥镇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D3AD1C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2165.65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EE2D8D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-2.0%</w:t>
            </w:r>
          </w:p>
        </w:tc>
      </w:tr>
      <w:tr w14:paraId="26AF7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31A8BB3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66BEABD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临浦镇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9852FC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1793.27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7AFB156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13.5%</w:t>
            </w:r>
          </w:p>
        </w:tc>
      </w:tr>
      <w:tr w14:paraId="3013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C46503B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5F2A715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所前镇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189B28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1681.73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798E2A4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1.7%</w:t>
            </w:r>
          </w:p>
        </w:tc>
      </w:tr>
      <w:tr w14:paraId="21632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4D15E4DD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4C79BBB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蜀山街道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216063C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652.24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30D14F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-14.4%</w:t>
            </w:r>
          </w:p>
        </w:tc>
      </w:tr>
      <w:tr w14:paraId="41C61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433902CF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BEEF05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新塘街道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409C829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1212.78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0A4CB3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0.4%</w:t>
            </w:r>
          </w:p>
        </w:tc>
      </w:tr>
      <w:tr w14:paraId="7C9A5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F2C1ED6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01A7AD0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新街街道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36F1C61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1761.46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35B4AE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9.1%</w:t>
            </w:r>
          </w:p>
        </w:tc>
      </w:tr>
      <w:tr w14:paraId="148C3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8D4740A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75C8039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党湾镇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A3B690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1997.39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878183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13.2%</w:t>
            </w:r>
          </w:p>
        </w:tc>
      </w:tr>
      <w:tr w14:paraId="52312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917027B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346ED8C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南阳街道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C99D2E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1375.10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4EFC16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-3.8%</w:t>
            </w:r>
          </w:p>
        </w:tc>
      </w:tr>
      <w:tr w14:paraId="04AF9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F0C0C0A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767D200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河上镇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7FB1718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1501.46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2577D5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6.7%</w:t>
            </w:r>
          </w:p>
        </w:tc>
      </w:tr>
      <w:tr w14:paraId="50041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35DD9BE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6ED57D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进化镇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11A8675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576.99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64208A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2.5%</w:t>
            </w:r>
          </w:p>
        </w:tc>
      </w:tr>
      <w:tr w14:paraId="431DA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F8D423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10CE46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浦阳镇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4B793E0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413.56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E9DA8B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3.6%</w:t>
            </w:r>
          </w:p>
        </w:tc>
      </w:tr>
      <w:tr w14:paraId="1B86E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7FC453AE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E5248E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戴村镇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807D59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359.65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39B80A3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-10.0%</w:t>
            </w:r>
          </w:p>
        </w:tc>
      </w:tr>
      <w:tr w14:paraId="015A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441CD083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1EB176D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闻堰街道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FBDF1C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372.10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5D5BB1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3.6%</w:t>
            </w:r>
          </w:p>
        </w:tc>
      </w:tr>
      <w:tr w14:paraId="2D57A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64EC016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2AE26A7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城厢街道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6C88EF6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221.14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1D6817D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-1.5%</w:t>
            </w:r>
          </w:p>
        </w:tc>
      </w:tr>
      <w:tr w14:paraId="16364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F6B67E0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729A02F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楼塔镇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0B3DBD6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159.28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18F534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6.6%</w:t>
            </w:r>
          </w:p>
        </w:tc>
      </w:tr>
      <w:tr w14:paraId="02DF3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722ECEB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3EE4AAB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湘湖新城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0EBF1D1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453.14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5585EE4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306.5%</w:t>
            </w:r>
            <w:r>
              <w:rPr>
                <w:rStyle w:val="10"/>
                <w:rFonts w:ascii="Times New Roman" w:hAnsi="Times New Roman" w:eastAsia="宋体" w:cs="Times New Roman"/>
                <w:color w:val="000000"/>
                <w:kern w:val="0"/>
                <w:sz w:val="22"/>
              </w:rPr>
              <w:footnoteReference w:id="3"/>
            </w:r>
          </w:p>
        </w:tc>
      </w:tr>
      <w:tr w14:paraId="2D691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F51920A">
            <w:pPr>
              <w:widowControl/>
              <w:jc w:val="center"/>
              <w:textAlignment w:val="center"/>
              <w:rPr>
                <w:rFonts w:ascii="Times New Roman" w:hAnsi="Times New Roman" w:eastAsia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24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</w:tcPr>
          <w:p w14:paraId="238158A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空港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bottom"/>
          </w:tcPr>
          <w:p w14:paraId="2CC4D01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 xml:space="preserve">11.76 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6BC6BCC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-60.1%</w:t>
            </w:r>
          </w:p>
        </w:tc>
      </w:tr>
    </w:tbl>
    <w:p w14:paraId="2BE19B35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</w:rPr>
      </w:pPr>
      <w:r>
        <w:rPr>
          <w:rFonts w:hint="eastAsia" w:ascii="楷体_GB2312" w:hAnsi="楷体_GB2312" w:eastAsia="楷体_GB2312" w:cs="楷体_GB2312"/>
          <w:bCs/>
          <w:sz w:val="24"/>
        </w:rPr>
        <w:t>（备注：未经核算数据仅供参考，不作真实数据应用）</w:t>
      </w:r>
    </w:p>
    <w:p w14:paraId="61E113B3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  <w:highlight w:val="yellow"/>
        </w:rPr>
      </w:pPr>
    </w:p>
    <w:p w14:paraId="56B1D622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  <w:highlight w:val="yellow"/>
        </w:rPr>
      </w:pPr>
    </w:p>
    <w:p w14:paraId="0B78FE6B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  <w:highlight w:val="yellow"/>
        </w:rPr>
      </w:pPr>
    </w:p>
    <w:p w14:paraId="2B20EADF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  <w:highlight w:val="yellow"/>
        </w:rPr>
      </w:pPr>
    </w:p>
    <w:p w14:paraId="63BFFFE0">
      <w:pPr>
        <w:spacing w:line="560" w:lineRule="exac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附表2</w:t>
      </w:r>
    </w:p>
    <w:p w14:paraId="1DBC8774">
      <w:pPr>
        <w:jc w:val="center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30"/>
          <w:szCs w:val="30"/>
        </w:rPr>
        <w:t>我区35千伏以上企业用电情况（11月）</w:t>
      </w:r>
      <w:r>
        <w:rPr>
          <w:rFonts w:hint="eastAsia" w:ascii="Times New Roman" w:hAnsi="Times New Roman"/>
          <w:b/>
          <w:sz w:val="30"/>
          <w:szCs w:val="30"/>
        </w:rPr>
        <w:br w:type="textWrapping"/>
      </w:r>
      <w:r>
        <w:rPr>
          <w:rFonts w:hint="eastAsia" w:ascii="Times New Roman" w:hAnsi="Times New Roman"/>
          <w:b/>
          <w:sz w:val="24"/>
        </w:rPr>
        <w:t>（同电压等级按用电量排序）</w:t>
      </w:r>
    </w:p>
    <w:tbl>
      <w:tblPr>
        <w:tblStyle w:val="6"/>
        <w:tblW w:w="83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2736"/>
        <w:gridCol w:w="647"/>
        <w:gridCol w:w="852"/>
        <w:gridCol w:w="711"/>
        <w:gridCol w:w="2056"/>
        <w:gridCol w:w="935"/>
      </w:tblGrid>
      <w:tr w14:paraId="354C0A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  <w:tblHeader/>
        </w:trPr>
        <w:tc>
          <w:tcPr>
            <w:tcW w:w="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B4FDB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B0B80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70793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电压</w:t>
            </w:r>
          </w:p>
          <w:p w14:paraId="60D8822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等级（</w:t>
            </w:r>
            <w:r>
              <w:rPr>
                <w:rStyle w:val="15"/>
                <w:rFonts w:eastAsia="宋体"/>
              </w:rPr>
              <w:t>kV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BDE2A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同比</w:t>
            </w:r>
          </w:p>
          <w:p w14:paraId="15F88CB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（</w:t>
            </w:r>
            <w:r>
              <w:rPr>
                <w:rStyle w:val="16"/>
                <w:rFonts w:eastAsia="宋体"/>
              </w:rPr>
              <w:t>%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163F9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环比</w:t>
            </w:r>
          </w:p>
          <w:p w14:paraId="7B5EC1C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（</w:t>
            </w:r>
            <w:r>
              <w:rPr>
                <w:rStyle w:val="16"/>
                <w:rFonts w:eastAsia="宋体"/>
              </w:rPr>
              <w:t>%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7DA8C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行业类型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7366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18"/>
                <w:szCs w:val="18"/>
              </w:rPr>
              <w:t>镇街</w:t>
            </w:r>
          </w:p>
        </w:tc>
      </w:tr>
      <w:tr w14:paraId="16501A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6DB99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E2B7B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浙江盛元化纤有限公司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3E5623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110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8ED2A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25.7%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37615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33.0%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5C7CB1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化学纤维制造业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07A1F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益农镇</w:t>
            </w:r>
          </w:p>
        </w:tc>
      </w:tr>
      <w:tr w14:paraId="38F759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A58FE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18EA1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浙江恒逸石化有限公司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7C9CAC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110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95167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4.9%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ED3E2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EE82D4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化学纤维制造业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10062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10E62E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D9BAC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3C185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中国重汽集团杭州发动机有限公司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D1AA37E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110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C35B4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295.3%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C6A62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236.8%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C3EE2A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汽车制造业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36A37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开发区</w:t>
            </w:r>
          </w:p>
        </w:tc>
      </w:tr>
      <w:tr w14:paraId="158308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F9F1A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F279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兴惠化纤集团有限公司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4C167E7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8878A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5.4%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EDD61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0.6%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472240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202A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27905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43925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627B0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开氏集团有限公司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1B6682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1320C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9.0%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4A514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8.4%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25D46D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96C0D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7DF75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BE327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A39B7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杭州惠丰化纤有限公司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A541E5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200D8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3792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DB6981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DEB3A6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6B6D9A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B2F01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0E164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三元控股集团有限公司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11FA14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522C5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12.8%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97E9B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11.4%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04F6D8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D4C36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党湾镇</w:t>
            </w:r>
          </w:p>
        </w:tc>
      </w:tr>
      <w:tr w14:paraId="09400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11100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1651B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万向一二三股份公司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AAE419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49505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10.0%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8E2F1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18.8%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96624D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电气机械和器材制造业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F1387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宁围街道</w:t>
            </w:r>
          </w:p>
        </w:tc>
      </w:tr>
      <w:tr w14:paraId="42C7F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59135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52D1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万向钱潮股份公司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677CA8E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BCF34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3.1%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2BFCCA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5.3%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0DAEDB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电气机械和器材制造业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653EE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宁围街道</w:t>
            </w:r>
          </w:p>
        </w:tc>
      </w:tr>
      <w:tr w14:paraId="5E6663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D026D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4CAF3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浙江森楷新材料有限公司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FE82E2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3FA92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115.0%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71665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13.4%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3BA03E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27C67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0A90BC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2FC50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F1A6E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浙江开氏实业有限公司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1D8E97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0B628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2.7%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806BE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4.5%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8792EB6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D32D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1CF289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D4801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F0A79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杭州航民达美染整有限公司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51FDA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7B1F0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68.1%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4CA1A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21.3%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4ED064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EB642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5DF30D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A0D2A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2CD32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杭州青云新材料股份有限公司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74DF75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D0BBF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3.9%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3F654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2.7%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AAF7A8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CBB99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210A7D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9FDCA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A768D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浙江方欣新材料有限公司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545831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9C570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71589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12.3%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97B79E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AB57D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5CE307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54F26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7ECAC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杭州帝凯工业布有限公司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E32206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A7E5E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14.3%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D36D0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3.4%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5CB91A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71A54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225A0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C907A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2D2E0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杭州中彩特种纤维有限公司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E6854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E5791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24.5%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07678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7.0%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8F7E9E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化学纤维制造业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BD9B3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53D23B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B5BC6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F3535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浙江协和薄钢科技有限公司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0BB6EC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0BE95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0.7%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8DD76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17.8%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42BB2A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金属制造业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FDA97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红山农场</w:t>
            </w:r>
          </w:p>
        </w:tc>
      </w:tr>
      <w:tr w14:paraId="0BDAC0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1BB45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24442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杭州瑞成辉化纤有限公司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34ABC1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D1F13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4.3%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59C14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19.6%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41261D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化学纤维制造业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DB0EF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新街街道</w:t>
            </w:r>
          </w:p>
        </w:tc>
      </w:tr>
      <w:tr w14:paraId="284EEA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702AB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C17B0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浙江宏扬纺织科技有限公司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2C24ED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11CCB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14.4%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4EF6D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6.9%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5193D37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D72DA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27D19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5151F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3C7B1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浙江萧元中沙纺织有限公司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36914A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26BB0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9.6%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55622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1.2%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8C2EF7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3DA6D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30684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AA743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C6A206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杭州萧越染织有限公司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23B070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6D750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15.4%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4335B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17.5%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0176E4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C48B7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7C06C4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C2043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B0A12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浙江拓源钢铁有限责任公司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22DBC3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E1766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8.0%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FEF54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DB0C8E7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金属制造业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B70F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衙前镇</w:t>
            </w:r>
          </w:p>
        </w:tc>
      </w:tr>
      <w:tr w14:paraId="0B9849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89439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310CF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浙江佳力风能技术有限公司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658DAB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114A8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8.8%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9B699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9.0%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918E36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通用设备制造业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34728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  <w:tr w14:paraId="64F9D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27F57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B63A8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恒枫食品科技有限公司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11A85A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59DDF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80.8%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1FB6D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32.1%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26D1B1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食品制造业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71F9F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开发区</w:t>
            </w:r>
          </w:p>
        </w:tc>
      </w:tr>
      <w:tr w14:paraId="2F9634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DFB5E7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973A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华润雪花啤酒(浙江)有限公司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83FD19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94DB7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14.4%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C9BE4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63.6%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CFDD06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酒、饮料和精制茶制造业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B9FFF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新街街道</w:t>
            </w:r>
          </w:p>
        </w:tc>
      </w:tr>
      <w:tr w14:paraId="0BA9C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AFB86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938FD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杭州前进齿轮箱集团股份有限公司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003F7F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53499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1.1%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002CB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13.0%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1D724B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电气机械及器材制造业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1C540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城厢街道</w:t>
            </w:r>
          </w:p>
        </w:tc>
      </w:tr>
      <w:tr w14:paraId="2856FF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B7D15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7FA75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爱克斯精密钢球(杭州)有限公司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0586CCE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9B9A7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1.8%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DC4AA0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074FC7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通用设备制造业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BB141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开发区</w:t>
            </w:r>
          </w:p>
        </w:tc>
      </w:tr>
      <w:tr w14:paraId="29B66B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EB411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3CBF5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杭萧钢构股份有限公司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05FA48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E82B0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28.6%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48F72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2.7%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6E7E81C1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金属制造业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4D87B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新街街道</w:t>
            </w:r>
          </w:p>
        </w:tc>
      </w:tr>
      <w:tr w14:paraId="5742EB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233E3F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A4499A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杭州宏胜恒枫饮料有限公司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B057753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7FDBB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89.7%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77858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12.9%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B005DC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酒、饮料和精制茶制造业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14575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开发区</w:t>
            </w:r>
          </w:p>
        </w:tc>
      </w:tr>
      <w:tr w14:paraId="6F54B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F3AAF3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B0DB68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浙江协和陶瓷有限公司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17E47F2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776FC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27.2%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5E3D84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54.9%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E60E81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金属制造业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5F690B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红山农场</w:t>
            </w:r>
          </w:p>
        </w:tc>
      </w:tr>
      <w:tr w14:paraId="71CA05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6AF64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BFC5E6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奥伯尼工程纺织品(杭州)有限公司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460DD4F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11F10E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0.1%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40D86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31.5%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61834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F10059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开发区</w:t>
            </w:r>
          </w:p>
        </w:tc>
      </w:tr>
      <w:tr w14:paraId="447AD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A27021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A75EFD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浙江双可达纺织有限公司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49B72B5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A105B9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10.7%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F5A66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FF0000"/>
                <w:sz w:val="18"/>
                <w:szCs w:val="18"/>
              </w:rPr>
              <w:t>↑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7.6%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ACF38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纺织业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7E8014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河上镇</w:t>
            </w:r>
          </w:p>
        </w:tc>
      </w:tr>
      <w:tr w14:paraId="0CCC6B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469CDC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85F73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杭州雅马哈乐器有限公司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03F363A7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35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D3265D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59.9%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103562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B050"/>
                <w:sz w:val="18"/>
                <w:szCs w:val="18"/>
              </w:rPr>
              <w:t>↓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59.0%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6F255C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专用设备制造业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BDBA60">
            <w:pPr>
              <w:widowControl/>
              <w:jc w:val="center"/>
              <w:textAlignment w:val="center"/>
              <w:rPr>
                <w:rStyle w:val="17"/>
                <w:rFonts w:hint="default" w:ascii="Times New Roman" w:hAnsi="Times New Roman" w:cs="Times New Roman"/>
              </w:rPr>
            </w:pPr>
            <w:r>
              <w:rPr>
                <w:rStyle w:val="17"/>
                <w:rFonts w:hint="default" w:ascii="Times New Roman" w:hAnsi="Times New Roman" w:cs="Times New Roman"/>
              </w:rPr>
              <w:t>瓜沥镇</w:t>
            </w:r>
          </w:p>
        </w:tc>
      </w:tr>
    </w:tbl>
    <w:p w14:paraId="7CDFEBE3">
      <w:pPr>
        <w:spacing w:line="560" w:lineRule="exact"/>
        <w:ind w:firstLine="480" w:firstLineChars="200"/>
        <w:rPr>
          <w:rFonts w:hint="eastAsia" w:ascii="楷体_GB2312" w:hAnsi="楷体_GB2312" w:eastAsia="楷体_GB2312" w:cs="楷体_GB2312"/>
          <w:bCs/>
          <w:sz w:val="24"/>
        </w:rPr>
      </w:pPr>
      <w:r>
        <w:rPr>
          <w:rFonts w:hint="eastAsia" w:ascii="楷体_GB2312" w:hAnsi="楷体_GB2312" w:eastAsia="楷体_GB2312" w:cs="楷体_GB2312"/>
          <w:bCs/>
          <w:sz w:val="24"/>
        </w:rPr>
        <w:t>（备注：根据《统计法》规定，不提供具体企业电量明细）</w:t>
      </w:r>
    </w:p>
    <w:sectPr>
      <w:footerReference r:id="rId4" w:type="default"/>
      <w:pgSz w:w="11906" w:h="16838"/>
      <w:pgMar w:top="1361" w:right="1800" w:bottom="1361" w:left="1800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C91C2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D89950">
                          <w:pPr>
                            <w:pStyle w:val="3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—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D89950">
                    <w:pPr>
                      <w:pStyle w:val="3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—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8">
    <w:p>
      <w:r>
        <w:separator/>
      </w:r>
    </w:p>
  </w:footnote>
  <w:footnote w:type="continuationSeparator" w:id="9">
    <w:p>
      <w:r>
        <w:continuationSeparator/>
      </w:r>
    </w:p>
  </w:footnote>
  <w:footnote w:id="0">
    <w:p w14:paraId="3A27D0FB">
      <w:pPr>
        <w:pStyle w:val="5"/>
        <w:rPr>
          <w:sz w:val="21"/>
          <w:szCs w:val="21"/>
        </w:rPr>
      </w:pPr>
      <w:r>
        <w:rPr>
          <w:rStyle w:val="10"/>
          <w:sz w:val="21"/>
          <w:szCs w:val="21"/>
        </w:rPr>
        <w:footnoteRef/>
      </w:r>
      <w:r>
        <w:rPr>
          <w:rFonts w:hint="eastAsia"/>
          <w:sz w:val="21"/>
          <w:szCs w:val="21"/>
        </w:rPr>
        <w:t>快报数据为未经核算数据，仅供参考，不作真实数据计费应用</w:t>
      </w:r>
    </w:p>
  </w:footnote>
  <w:footnote w:id="1">
    <w:p w14:paraId="1DC46628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Style w:val="10"/>
          <w:rFonts w:ascii="Times New Roman" w:hAnsi="Times New Roman" w:cs="Times New Roman"/>
          <w:szCs w:val="21"/>
        </w:rPr>
        <w:footnoteRef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年增加值超2000万元以上的514家工业企业，简称</w:t>
      </w:r>
      <w:r>
        <w:rPr>
          <w:rFonts w:ascii="Times New Roman" w:hAnsi="Times New Roman" w:cs="Times New Roman"/>
          <w:color w:val="000000"/>
          <w:kern w:val="0"/>
          <w:szCs w:val="21"/>
        </w:rPr>
        <w:t>“514”</w:t>
      </w:r>
    </w:p>
  </w:footnote>
  <w:footnote w:id="2">
    <w:p w14:paraId="05900D00">
      <w:pPr>
        <w:widowControl/>
        <w:jc w:val="left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Style w:val="10"/>
          <w:rFonts w:ascii="Times New Roman" w:hAnsi="Times New Roman" w:cs="Times New Roman"/>
          <w:szCs w:val="21"/>
        </w:rPr>
        <w:footnoteRef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年增加值超5000万元以上的244家工业企业，简</w:t>
      </w:r>
      <w:r>
        <w:rPr>
          <w:rFonts w:ascii="Times New Roman" w:hAnsi="Times New Roman" w:cs="Times New Roman"/>
          <w:color w:val="000000"/>
          <w:kern w:val="0"/>
          <w:szCs w:val="21"/>
        </w:rPr>
        <w:t>称“244”</w:t>
      </w:r>
    </w:p>
  </w:footnote>
  <w:footnote w:id="3">
    <w:p w14:paraId="05CBED23">
      <w:pPr>
        <w:pStyle w:val="5"/>
        <w:rPr>
          <w:sz w:val="21"/>
          <w:szCs w:val="21"/>
        </w:rPr>
      </w:pPr>
      <w:r>
        <w:rPr>
          <w:rStyle w:val="10"/>
          <w:sz w:val="21"/>
          <w:szCs w:val="21"/>
        </w:rPr>
        <w:footnoteRef/>
      </w:r>
      <w:r>
        <w:rPr>
          <w:rFonts w:hint="eastAsia"/>
          <w:sz w:val="21"/>
          <w:szCs w:val="21"/>
        </w:rPr>
        <w:t>11月，湘湖新城用电量同比增加306.5%原因是云尖科技电量同比增长447%（2023年还在调试）。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8"/>
    <w:footnote w:id="9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4YzM0ODMxMzFmM2Y0YjIyOWFmNmFhYjg3ZjdiOTQifQ=="/>
  </w:docVars>
  <w:rsids>
    <w:rsidRoot w:val="00172A27"/>
    <w:rsid w:val="000033B5"/>
    <w:rsid w:val="00007E31"/>
    <w:rsid w:val="00014041"/>
    <w:rsid w:val="00042962"/>
    <w:rsid w:val="00056D8E"/>
    <w:rsid w:val="00096C22"/>
    <w:rsid w:val="000A1059"/>
    <w:rsid w:val="000D5581"/>
    <w:rsid w:val="00112B68"/>
    <w:rsid w:val="0013312D"/>
    <w:rsid w:val="00153581"/>
    <w:rsid w:val="00172A27"/>
    <w:rsid w:val="001850CF"/>
    <w:rsid w:val="001A6CDA"/>
    <w:rsid w:val="0023140D"/>
    <w:rsid w:val="002B772D"/>
    <w:rsid w:val="002D7817"/>
    <w:rsid w:val="00307C75"/>
    <w:rsid w:val="00334AA9"/>
    <w:rsid w:val="00362172"/>
    <w:rsid w:val="00397F34"/>
    <w:rsid w:val="003A3FB8"/>
    <w:rsid w:val="003D6C00"/>
    <w:rsid w:val="004E0A27"/>
    <w:rsid w:val="004F06B9"/>
    <w:rsid w:val="005020F6"/>
    <w:rsid w:val="00544117"/>
    <w:rsid w:val="00554A89"/>
    <w:rsid w:val="006112DF"/>
    <w:rsid w:val="00641399"/>
    <w:rsid w:val="00661D94"/>
    <w:rsid w:val="00682FE9"/>
    <w:rsid w:val="00685571"/>
    <w:rsid w:val="006B6366"/>
    <w:rsid w:val="00774371"/>
    <w:rsid w:val="00787421"/>
    <w:rsid w:val="00792ADF"/>
    <w:rsid w:val="00793545"/>
    <w:rsid w:val="007A43CB"/>
    <w:rsid w:val="007C399D"/>
    <w:rsid w:val="007F166D"/>
    <w:rsid w:val="00820AD3"/>
    <w:rsid w:val="00853AAD"/>
    <w:rsid w:val="0089595D"/>
    <w:rsid w:val="008A362F"/>
    <w:rsid w:val="008A419E"/>
    <w:rsid w:val="008C239B"/>
    <w:rsid w:val="008D0D49"/>
    <w:rsid w:val="008E211C"/>
    <w:rsid w:val="008E7A6F"/>
    <w:rsid w:val="00974AB8"/>
    <w:rsid w:val="00993F9A"/>
    <w:rsid w:val="00A168BC"/>
    <w:rsid w:val="00A320F7"/>
    <w:rsid w:val="00A510EC"/>
    <w:rsid w:val="00A525F1"/>
    <w:rsid w:val="00A530C1"/>
    <w:rsid w:val="00A61938"/>
    <w:rsid w:val="00AB1A02"/>
    <w:rsid w:val="00AB7783"/>
    <w:rsid w:val="00AD38BC"/>
    <w:rsid w:val="00AE24EE"/>
    <w:rsid w:val="00AF30C6"/>
    <w:rsid w:val="00B17032"/>
    <w:rsid w:val="00B20C1F"/>
    <w:rsid w:val="00B55FE8"/>
    <w:rsid w:val="00B8565D"/>
    <w:rsid w:val="00B91314"/>
    <w:rsid w:val="00BB3C40"/>
    <w:rsid w:val="00BC6C59"/>
    <w:rsid w:val="00BE06EE"/>
    <w:rsid w:val="00C040EB"/>
    <w:rsid w:val="00C264B6"/>
    <w:rsid w:val="00C35801"/>
    <w:rsid w:val="00C43320"/>
    <w:rsid w:val="00C73378"/>
    <w:rsid w:val="00CC578C"/>
    <w:rsid w:val="00CD2488"/>
    <w:rsid w:val="00D06061"/>
    <w:rsid w:val="00D13789"/>
    <w:rsid w:val="00D6458B"/>
    <w:rsid w:val="00D73154"/>
    <w:rsid w:val="00D76D53"/>
    <w:rsid w:val="00DC7952"/>
    <w:rsid w:val="00E75A5A"/>
    <w:rsid w:val="00EA29AB"/>
    <w:rsid w:val="00F03A4D"/>
    <w:rsid w:val="00F447F2"/>
    <w:rsid w:val="00F574C2"/>
    <w:rsid w:val="00F8463F"/>
    <w:rsid w:val="00FA388A"/>
    <w:rsid w:val="00FE2ECB"/>
    <w:rsid w:val="00FF3050"/>
    <w:rsid w:val="012E3E6A"/>
    <w:rsid w:val="01F802BA"/>
    <w:rsid w:val="022A26A7"/>
    <w:rsid w:val="027869C2"/>
    <w:rsid w:val="02B66354"/>
    <w:rsid w:val="02BF3353"/>
    <w:rsid w:val="03FD4132"/>
    <w:rsid w:val="055E55ED"/>
    <w:rsid w:val="05D3081E"/>
    <w:rsid w:val="06150E10"/>
    <w:rsid w:val="06A524FB"/>
    <w:rsid w:val="06B96CE0"/>
    <w:rsid w:val="06FC6923"/>
    <w:rsid w:val="076E662F"/>
    <w:rsid w:val="07984F5A"/>
    <w:rsid w:val="07F227A0"/>
    <w:rsid w:val="08066B00"/>
    <w:rsid w:val="08220864"/>
    <w:rsid w:val="08F700C6"/>
    <w:rsid w:val="09132BDE"/>
    <w:rsid w:val="09860F2C"/>
    <w:rsid w:val="09A309E0"/>
    <w:rsid w:val="09BF7A26"/>
    <w:rsid w:val="0A0C1CBD"/>
    <w:rsid w:val="0A9F3ACB"/>
    <w:rsid w:val="0AD62843"/>
    <w:rsid w:val="0B013CC9"/>
    <w:rsid w:val="0BE457C2"/>
    <w:rsid w:val="0C572A0B"/>
    <w:rsid w:val="0C604D49"/>
    <w:rsid w:val="0CEC227A"/>
    <w:rsid w:val="0D3F1163"/>
    <w:rsid w:val="0DB218BB"/>
    <w:rsid w:val="0E321257"/>
    <w:rsid w:val="0E4B7ECD"/>
    <w:rsid w:val="0EA865DE"/>
    <w:rsid w:val="0F216B17"/>
    <w:rsid w:val="0F223ACF"/>
    <w:rsid w:val="0FF9588F"/>
    <w:rsid w:val="0FFF55C6"/>
    <w:rsid w:val="10BC49D2"/>
    <w:rsid w:val="11092F2A"/>
    <w:rsid w:val="128D5058"/>
    <w:rsid w:val="12C95DF8"/>
    <w:rsid w:val="12ED6111"/>
    <w:rsid w:val="145B3A4C"/>
    <w:rsid w:val="14DC1A1A"/>
    <w:rsid w:val="15230241"/>
    <w:rsid w:val="15693A90"/>
    <w:rsid w:val="163A340E"/>
    <w:rsid w:val="16F14C73"/>
    <w:rsid w:val="17D015B3"/>
    <w:rsid w:val="17FD3CF0"/>
    <w:rsid w:val="182D566F"/>
    <w:rsid w:val="183A7FCC"/>
    <w:rsid w:val="18A96F5D"/>
    <w:rsid w:val="18BA5AA5"/>
    <w:rsid w:val="19660327"/>
    <w:rsid w:val="19A920D8"/>
    <w:rsid w:val="19DD64F6"/>
    <w:rsid w:val="1A3C2933"/>
    <w:rsid w:val="1A4441B2"/>
    <w:rsid w:val="1AEB06EA"/>
    <w:rsid w:val="1B1C5239"/>
    <w:rsid w:val="1C24345C"/>
    <w:rsid w:val="1E8003FA"/>
    <w:rsid w:val="1E9E7E2B"/>
    <w:rsid w:val="1EB77349"/>
    <w:rsid w:val="1EE71DBC"/>
    <w:rsid w:val="1F0F2DC9"/>
    <w:rsid w:val="207224A2"/>
    <w:rsid w:val="207A3171"/>
    <w:rsid w:val="20CC624F"/>
    <w:rsid w:val="20DB56B2"/>
    <w:rsid w:val="20E93F65"/>
    <w:rsid w:val="21B71FAF"/>
    <w:rsid w:val="23336F46"/>
    <w:rsid w:val="23444FDB"/>
    <w:rsid w:val="23830CBD"/>
    <w:rsid w:val="23A7066E"/>
    <w:rsid w:val="23C22A48"/>
    <w:rsid w:val="24D71BA6"/>
    <w:rsid w:val="256C6F12"/>
    <w:rsid w:val="25A15F4C"/>
    <w:rsid w:val="25DF0E9F"/>
    <w:rsid w:val="25E91CFC"/>
    <w:rsid w:val="260E335C"/>
    <w:rsid w:val="263A2B04"/>
    <w:rsid w:val="26857E7D"/>
    <w:rsid w:val="26A21168"/>
    <w:rsid w:val="26B10E3A"/>
    <w:rsid w:val="272E0923"/>
    <w:rsid w:val="27707723"/>
    <w:rsid w:val="27B17C6D"/>
    <w:rsid w:val="28091954"/>
    <w:rsid w:val="29152E6A"/>
    <w:rsid w:val="29480C69"/>
    <w:rsid w:val="2976035F"/>
    <w:rsid w:val="298B5157"/>
    <w:rsid w:val="29984DF6"/>
    <w:rsid w:val="29DC18C4"/>
    <w:rsid w:val="2A472469"/>
    <w:rsid w:val="2A9F2062"/>
    <w:rsid w:val="2ABA6078"/>
    <w:rsid w:val="2AC06B7F"/>
    <w:rsid w:val="2AD95BF1"/>
    <w:rsid w:val="2B380312"/>
    <w:rsid w:val="2B5D24D5"/>
    <w:rsid w:val="2C795A69"/>
    <w:rsid w:val="2CD654E1"/>
    <w:rsid w:val="2CFE757A"/>
    <w:rsid w:val="2DA059AB"/>
    <w:rsid w:val="2DA23295"/>
    <w:rsid w:val="2E726829"/>
    <w:rsid w:val="2E755089"/>
    <w:rsid w:val="2E760FF7"/>
    <w:rsid w:val="2ED03444"/>
    <w:rsid w:val="2F7D3F42"/>
    <w:rsid w:val="305A2C70"/>
    <w:rsid w:val="308C4D77"/>
    <w:rsid w:val="309B4ECD"/>
    <w:rsid w:val="30F37135"/>
    <w:rsid w:val="31221DB1"/>
    <w:rsid w:val="313A69C9"/>
    <w:rsid w:val="31E66DA7"/>
    <w:rsid w:val="31F15854"/>
    <w:rsid w:val="32400535"/>
    <w:rsid w:val="337F5524"/>
    <w:rsid w:val="343C22C6"/>
    <w:rsid w:val="34465A93"/>
    <w:rsid w:val="34B60E1C"/>
    <w:rsid w:val="34E1415F"/>
    <w:rsid w:val="36A867BD"/>
    <w:rsid w:val="36E87CF0"/>
    <w:rsid w:val="37212D9E"/>
    <w:rsid w:val="376023AA"/>
    <w:rsid w:val="38356245"/>
    <w:rsid w:val="38580F34"/>
    <w:rsid w:val="38A55151"/>
    <w:rsid w:val="39814828"/>
    <w:rsid w:val="39864128"/>
    <w:rsid w:val="39933DB4"/>
    <w:rsid w:val="3A044B4A"/>
    <w:rsid w:val="3AA45089"/>
    <w:rsid w:val="3AE04DD5"/>
    <w:rsid w:val="3BD2501E"/>
    <w:rsid w:val="3BEB5908"/>
    <w:rsid w:val="3C242D18"/>
    <w:rsid w:val="3C523906"/>
    <w:rsid w:val="3C6566F0"/>
    <w:rsid w:val="3C7B436A"/>
    <w:rsid w:val="3C913BE9"/>
    <w:rsid w:val="3C973A9B"/>
    <w:rsid w:val="3CDD2E40"/>
    <w:rsid w:val="3D583BAC"/>
    <w:rsid w:val="3E6F439C"/>
    <w:rsid w:val="3F157FC7"/>
    <w:rsid w:val="3F8402E4"/>
    <w:rsid w:val="406557F9"/>
    <w:rsid w:val="40D80F16"/>
    <w:rsid w:val="417A222D"/>
    <w:rsid w:val="41853BF8"/>
    <w:rsid w:val="41B45066"/>
    <w:rsid w:val="41DB0147"/>
    <w:rsid w:val="4269030C"/>
    <w:rsid w:val="42E50982"/>
    <w:rsid w:val="42E97E52"/>
    <w:rsid w:val="434C3EF4"/>
    <w:rsid w:val="435701C3"/>
    <w:rsid w:val="4397042F"/>
    <w:rsid w:val="43BC37DE"/>
    <w:rsid w:val="448D0831"/>
    <w:rsid w:val="453B5A0E"/>
    <w:rsid w:val="45EA038F"/>
    <w:rsid w:val="461D4A07"/>
    <w:rsid w:val="46D2727A"/>
    <w:rsid w:val="470B1B32"/>
    <w:rsid w:val="471B2231"/>
    <w:rsid w:val="47617B01"/>
    <w:rsid w:val="47766081"/>
    <w:rsid w:val="47A937C6"/>
    <w:rsid w:val="4850757A"/>
    <w:rsid w:val="488C54E3"/>
    <w:rsid w:val="48B31269"/>
    <w:rsid w:val="48EF04A6"/>
    <w:rsid w:val="48FC132D"/>
    <w:rsid w:val="49A75C13"/>
    <w:rsid w:val="49FD1179"/>
    <w:rsid w:val="4B6B4C49"/>
    <w:rsid w:val="4BC94F1C"/>
    <w:rsid w:val="4C820856"/>
    <w:rsid w:val="4D8A3EE5"/>
    <w:rsid w:val="4DDF5CA6"/>
    <w:rsid w:val="4F145BCF"/>
    <w:rsid w:val="4FB65371"/>
    <w:rsid w:val="4FD65B37"/>
    <w:rsid w:val="503A156A"/>
    <w:rsid w:val="50824058"/>
    <w:rsid w:val="50B54781"/>
    <w:rsid w:val="50DB7276"/>
    <w:rsid w:val="511315B5"/>
    <w:rsid w:val="511E284C"/>
    <w:rsid w:val="512173A0"/>
    <w:rsid w:val="514816B6"/>
    <w:rsid w:val="51C04AD1"/>
    <w:rsid w:val="51D71AF7"/>
    <w:rsid w:val="51F53518"/>
    <w:rsid w:val="51FA5A0B"/>
    <w:rsid w:val="52284389"/>
    <w:rsid w:val="52B0278C"/>
    <w:rsid w:val="52E42A9B"/>
    <w:rsid w:val="53010E60"/>
    <w:rsid w:val="53794425"/>
    <w:rsid w:val="54133304"/>
    <w:rsid w:val="541A73A6"/>
    <w:rsid w:val="5429544B"/>
    <w:rsid w:val="545012B1"/>
    <w:rsid w:val="54801EB8"/>
    <w:rsid w:val="55BA3DAC"/>
    <w:rsid w:val="56FE1493"/>
    <w:rsid w:val="57903550"/>
    <w:rsid w:val="57964860"/>
    <w:rsid w:val="583D4018"/>
    <w:rsid w:val="588646B8"/>
    <w:rsid w:val="58A52E37"/>
    <w:rsid w:val="58CC728D"/>
    <w:rsid w:val="5922457B"/>
    <w:rsid w:val="592672A6"/>
    <w:rsid w:val="596F75D9"/>
    <w:rsid w:val="5A5C0D28"/>
    <w:rsid w:val="5AC47F73"/>
    <w:rsid w:val="5B6C443D"/>
    <w:rsid w:val="5B837880"/>
    <w:rsid w:val="5C104619"/>
    <w:rsid w:val="5C4C08CC"/>
    <w:rsid w:val="5C965432"/>
    <w:rsid w:val="5CC0606B"/>
    <w:rsid w:val="5CC810C1"/>
    <w:rsid w:val="60343BAD"/>
    <w:rsid w:val="603E2095"/>
    <w:rsid w:val="6057749B"/>
    <w:rsid w:val="609054CC"/>
    <w:rsid w:val="61206B6A"/>
    <w:rsid w:val="614933F8"/>
    <w:rsid w:val="623A7020"/>
    <w:rsid w:val="62451DFA"/>
    <w:rsid w:val="63372324"/>
    <w:rsid w:val="63B868A3"/>
    <w:rsid w:val="64412664"/>
    <w:rsid w:val="64EE5182"/>
    <w:rsid w:val="65E971E8"/>
    <w:rsid w:val="667A56FD"/>
    <w:rsid w:val="66802567"/>
    <w:rsid w:val="66C02A4A"/>
    <w:rsid w:val="676831A0"/>
    <w:rsid w:val="67A57F87"/>
    <w:rsid w:val="68123CE4"/>
    <w:rsid w:val="6859600C"/>
    <w:rsid w:val="68600C69"/>
    <w:rsid w:val="689C5115"/>
    <w:rsid w:val="691A65FE"/>
    <w:rsid w:val="696F6709"/>
    <w:rsid w:val="698F7E49"/>
    <w:rsid w:val="69B340C1"/>
    <w:rsid w:val="69CE4392"/>
    <w:rsid w:val="69F40F24"/>
    <w:rsid w:val="6A3F2D41"/>
    <w:rsid w:val="6A9F7164"/>
    <w:rsid w:val="6ABA6522"/>
    <w:rsid w:val="6B642FE8"/>
    <w:rsid w:val="6BD34BC2"/>
    <w:rsid w:val="6BE474BA"/>
    <w:rsid w:val="6C3A1732"/>
    <w:rsid w:val="6C5553FD"/>
    <w:rsid w:val="6C6871AA"/>
    <w:rsid w:val="6C910295"/>
    <w:rsid w:val="6C9B7FA3"/>
    <w:rsid w:val="6CF94E2F"/>
    <w:rsid w:val="6DAD382D"/>
    <w:rsid w:val="6DBD1379"/>
    <w:rsid w:val="6E5267B0"/>
    <w:rsid w:val="6E7B5EE6"/>
    <w:rsid w:val="6EC14754"/>
    <w:rsid w:val="6F1D3FB9"/>
    <w:rsid w:val="6F815062"/>
    <w:rsid w:val="6F8416B3"/>
    <w:rsid w:val="6FC04752"/>
    <w:rsid w:val="6FF64802"/>
    <w:rsid w:val="704100EF"/>
    <w:rsid w:val="704D166C"/>
    <w:rsid w:val="709A3F00"/>
    <w:rsid w:val="70E90CF0"/>
    <w:rsid w:val="710271D5"/>
    <w:rsid w:val="7128150C"/>
    <w:rsid w:val="713E0C2B"/>
    <w:rsid w:val="714A6F33"/>
    <w:rsid w:val="71BC0393"/>
    <w:rsid w:val="72170B15"/>
    <w:rsid w:val="721E6CC0"/>
    <w:rsid w:val="73525D4B"/>
    <w:rsid w:val="73B5275B"/>
    <w:rsid w:val="74303241"/>
    <w:rsid w:val="74E86A67"/>
    <w:rsid w:val="75016E45"/>
    <w:rsid w:val="75244A4C"/>
    <w:rsid w:val="755B4C36"/>
    <w:rsid w:val="75600C61"/>
    <w:rsid w:val="75EB692D"/>
    <w:rsid w:val="76276C0E"/>
    <w:rsid w:val="763E230A"/>
    <w:rsid w:val="764633CA"/>
    <w:rsid w:val="77161C2A"/>
    <w:rsid w:val="772F76D6"/>
    <w:rsid w:val="77715C94"/>
    <w:rsid w:val="77FD33BE"/>
    <w:rsid w:val="77FF583E"/>
    <w:rsid w:val="7858261A"/>
    <w:rsid w:val="786B3D53"/>
    <w:rsid w:val="78D1609C"/>
    <w:rsid w:val="79234B4E"/>
    <w:rsid w:val="79495ABA"/>
    <w:rsid w:val="79620D72"/>
    <w:rsid w:val="7A1620B0"/>
    <w:rsid w:val="7A163BFC"/>
    <w:rsid w:val="7ABB4410"/>
    <w:rsid w:val="7ABE0764"/>
    <w:rsid w:val="7AF07367"/>
    <w:rsid w:val="7B166ED4"/>
    <w:rsid w:val="7BDB4440"/>
    <w:rsid w:val="7C300EEE"/>
    <w:rsid w:val="7C5F2862"/>
    <w:rsid w:val="7C8473E3"/>
    <w:rsid w:val="7D1D740E"/>
    <w:rsid w:val="7E1976EC"/>
    <w:rsid w:val="7EE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otnote reference"/>
    <w:basedOn w:val="8"/>
    <w:qFormat/>
    <w:uiPriority w:val="0"/>
    <w:rPr>
      <w:vertAlign w:val="superscript"/>
    </w:rPr>
  </w:style>
  <w:style w:type="character" w:customStyle="1" w:styleId="11">
    <w:name w:val="font01"/>
    <w:basedOn w:val="8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12">
    <w:name w:val="font21"/>
    <w:basedOn w:val="8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13">
    <w:name w:val="font11"/>
    <w:basedOn w:val="8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4">
    <w:name w:val="批注框文本 字符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font91"/>
    <w:basedOn w:val="8"/>
    <w:qFormat/>
    <w:uiPriority w:val="0"/>
    <w:rPr>
      <w:rFonts w:hint="default" w:ascii="Times New Roman" w:hAnsi="Times New Roman" w:cs="Times New Roman"/>
      <w:b/>
      <w:bCs/>
      <w:color w:val="000000"/>
      <w:sz w:val="18"/>
      <w:szCs w:val="18"/>
      <w:u w:val="none"/>
    </w:rPr>
  </w:style>
  <w:style w:type="character" w:customStyle="1" w:styleId="16">
    <w:name w:val="font101"/>
    <w:basedOn w:val="8"/>
    <w:qFormat/>
    <w:uiPriority w:val="0"/>
    <w:rPr>
      <w:rFonts w:hint="default" w:ascii="Times New Roman" w:hAnsi="Times New Roman" w:cs="Times New Roman"/>
      <w:b/>
      <w:bCs/>
      <w:color w:val="000000"/>
      <w:sz w:val="21"/>
      <w:szCs w:val="21"/>
      <w:u w:val="none"/>
    </w:rPr>
  </w:style>
  <w:style w:type="character" w:customStyle="1" w:styleId="17">
    <w:name w:val="font4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8">
    <w:name w:val="font51"/>
    <w:basedOn w:val="8"/>
    <w:qFormat/>
    <w:uiPriority w:val="0"/>
    <w:rPr>
      <w:rFonts w:hint="default" w:ascii="Times New Roman" w:hAnsi="Times New Roman" w:cs="Times New Roman"/>
      <w:b/>
      <w:bCs/>
      <w:color w:val="00B050"/>
      <w:sz w:val="18"/>
      <w:szCs w:val="18"/>
      <w:u w:val="none"/>
    </w:rPr>
  </w:style>
  <w:style w:type="character" w:customStyle="1" w:styleId="19">
    <w:name w:val="font31"/>
    <w:basedOn w:val="8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20">
    <w:name w:val="font61"/>
    <w:basedOn w:val="8"/>
    <w:qFormat/>
    <w:uiPriority w:val="0"/>
    <w:rPr>
      <w:rFonts w:hint="default" w:ascii="Times New Roman" w:hAnsi="Times New Roman" w:cs="Times New Roman"/>
      <w:b/>
      <w:bCs/>
      <w:color w:val="FF0000"/>
      <w:sz w:val="18"/>
      <w:szCs w:val="18"/>
      <w:u w:val="none"/>
    </w:rPr>
  </w:style>
  <w:style w:type="character" w:customStyle="1" w:styleId="21">
    <w:name w:val="font7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2">
    <w:name w:val="font81"/>
    <w:basedOn w:val="8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&#30005;&#21147;&#30475;&#32463;&#27982;2024&#24180;&#26376;&#25253;&#20844;&#24335;&#65288;&#19981;&#21547;&#20840;&#30465;&#65289;11&#26376;&#65288;&#21482;&#21253;&#21547;&#26477;&#24030;&#19982;&#20854;&#20182;&#21306;&#21439;&#2925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ownloads\&#30005;&#21147;&#30475;&#32463;&#27982;2024&#24180;&#26376;&#25253;&#20844;&#24335;&#65288;&#19981;&#21547;&#20840;&#30465;&#65289;11&#26376;&#65288;&#21482;&#21253;&#21547;&#26477;&#24030;&#19982;&#20854;&#20182;&#21306;&#21439;&#2925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664727877025"/>
          <c:y val="0.0806373732496379"/>
          <c:w val="0.720793518903199"/>
          <c:h val="0.6273297923708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'[电力看经济2024年月报公式（不含全省）11月（只包含杭州与其他区县版.xlsx]月同比'!$A$4</c:f>
              <c:strCache>
                <c:ptCount val="1"/>
                <c:pt idx="0">
                  <c:v>2023年用电量（万千瓦时）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'[电力看经济2024年月报公式（不含全省）11月（只包含杭州与其他区县版.xlsx]月同比'!$B$3:$M$3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'[电力看经济2024年月报公式（不含全省）11月（只包含杭州与其他区县版.xlsx]月同比'!$B$4:$M$4</c:f>
              <c:numCache>
                <c:formatCode>General</c:formatCode>
                <c:ptCount val="12"/>
                <c:pt idx="0">
                  <c:v>116441.85</c:v>
                </c:pt>
                <c:pt idx="1">
                  <c:v>166627.4975</c:v>
                </c:pt>
                <c:pt idx="2">
                  <c:v>186169.7096</c:v>
                </c:pt>
                <c:pt idx="3" c:formatCode="@">
                  <c:v>178225.5432</c:v>
                </c:pt>
                <c:pt idx="4" c:formatCode="@">
                  <c:v>181954.5848</c:v>
                </c:pt>
                <c:pt idx="5">
                  <c:v>196589.0448</c:v>
                </c:pt>
                <c:pt idx="6" c:formatCode="@">
                  <c:v>242641.259</c:v>
                </c:pt>
                <c:pt idx="7" c:formatCode="@">
                  <c:v>237004.4008</c:v>
                </c:pt>
                <c:pt idx="8" c:formatCode="@">
                  <c:v>199981.1393</c:v>
                </c:pt>
                <c:pt idx="9" c:formatCode="0.0_ ">
                  <c:v>175329.1306</c:v>
                </c:pt>
                <c:pt idx="10">
                  <c:v>180029.5414</c:v>
                </c:pt>
                <c:pt idx="11" c:formatCode="@">
                  <c:v>204831.7932</c:v>
                </c:pt>
              </c:numCache>
            </c:numRef>
          </c:val>
        </c:ser>
        <c:ser>
          <c:idx val="1"/>
          <c:order val="1"/>
          <c:tx>
            <c:strRef>
              <c:f>'[电力看经济2024年月报公式（不含全省）11月（只包含杭州与其他区县版.xlsx]月同比'!$A$5</c:f>
              <c:strCache>
                <c:ptCount val="1"/>
                <c:pt idx="0">
                  <c:v>2024年用电量（万千瓦时）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'[电力看经济2024年月报公式（不含全省）11月（只包含杭州与其他区县版.xlsx]月同比'!$B$3:$M$3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'[电力看经济2024年月报公式（不含全省）11月（只包含杭州与其他区县版.xlsx]月同比'!$B$5:$M$5</c:f>
              <c:numCache>
                <c:formatCode>General</c:formatCode>
                <c:ptCount val="12"/>
                <c:pt idx="0">
                  <c:v>202959.6219</c:v>
                </c:pt>
                <c:pt idx="1">
                  <c:v>125159.7864</c:v>
                </c:pt>
                <c:pt idx="2">
                  <c:v>196388.3204</c:v>
                </c:pt>
                <c:pt idx="3" c:formatCode="@">
                  <c:v>184037.8835</c:v>
                </c:pt>
                <c:pt idx="4">
                  <c:v>183760.6663</c:v>
                </c:pt>
                <c:pt idx="5">
                  <c:v>189087.9355</c:v>
                </c:pt>
                <c:pt idx="6">
                  <c:v>264315.3017</c:v>
                </c:pt>
                <c:pt idx="7">
                  <c:v>264954.1078</c:v>
                </c:pt>
                <c:pt idx="8">
                  <c:v>226696.9509</c:v>
                </c:pt>
                <c:pt idx="9">
                  <c:v>187018.5632</c:v>
                </c:pt>
                <c:pt idx="10" c:formatCode="@">
                  <c:v>187053.4784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0420405"/>
        <c:axId val="421161660"/>
      </c:barChart>
      <c:lineChart>
        <c:grouping val="standard"/>
        <c:varyColors val="0"/>
        <c:ser>
          <c:idx val="2"/>
          <c:order val="2"/>
          <c:tx>
            <c:strRef>
              <c:f>'[电力看经济2024年月报公式（不含全省）11月（只包含杭州与其他区县版.xlsx]月同比'!$A$6</c:f>
              <c:strCache>
                <c:ptCount val="1"/>
                <c:pt idx="0">
                  <c:v>2023年同比（%）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elete val="1"/>
          </c:dLbls>
          <c:cat>
            <c:strRef>
              <c:f>'[电力看经济2024年月报公式（不含全省）11月（只包含杭州与其他区县版.xlsx]月同比'!$B$3:$M$3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'[电力看经济2024年月报公式（不含全省）11月（只包含杭州与其他区县版.xlsx]月同比'!$B$6:$M$6</c:f>
              <c:numCache>
                <c:formatCode>0.00_);[Red]\(0.00\)</c:formatCode>
                <c:ptCount val="12"/>
                <c:pt idx="0">
                  <c:v>-29.2493140644961</c:v>
                </c:pt>
                <c:pt idx="1">
                  <c:v>22.3578731543016</c:v>
                </c:pt>
                <c:pt idx="2">
                  <c:v>0.364269603780998</c:v>
                </c:pt>
                <c:pt idx="3">
                  <c:v>9.03432715072233</c:v>
                </c:pt>
                <c:pt idx="4">
                  <c:v>11.6289301330457</c:v>
                </c:pt>
                <c:pt idx="5">
                  <c:v>3.9709871355944</c:v>
                </c:pt>
                <c:pt idx="6">
                  <c:v>4.5128325978189</c:v>
                </c:pt>
                <c:pt idx="7">
                  <c:v>3.11698626890862</c:v>
                </c:pt>
                <c:pt idx="8">
                  <c:v>12.2925139219969</c:v>
                </c:pt>
                <c:pt idx="9">
                  <c:v>54.2818298102299</c:v>
                </c:pt>
                <c:pt idx="10">
                  <c:v>12.5046946988856</c:v>
                </c:pt>
                <c:pt idx="11">
                  <c:v>7.28217946263768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'[电力看经济2024年月报公式（不含全省）11月（只包含杭州与其他区县版.xlsx]月同比'!$A$7</c:f>
              <c:strCache>
                <c:ptCount val="1"/>
                <c:pt idx="0">
                  <c:v>2024年同比（%）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'[电力看经济2024年月报公式（不含全省）11月（只包含杭州与其他区县版.xlsx]月同比'!$B$3:$M$3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'[电力看经济2024年月报公式（不含全省）11月（只包含杭州与其他区县版.xlsx]月同比'!$B$7:$M$7</c:f>
              <c:numCache>
                <c:formatCode>0.00_);[Red]\(0.00\)</c:formatCode>
                <c:ptCount val="12"/>
                <c:pt idx="0">
                  <c:v>74.3012687448714</c:v>
                </c:pt>
                <c:pt idx="1">
                  <c:v>-24.8864753550056</c:v>
                </c:pt>
                <c:pt idx="2">
                  <c:v>5.48886863601789</c:v>
                </c:pt>
                <c:pt idx="3">
                  <c:v>3.26122742881897</c:v>
                </c:pt>
                <c:pt idx="4">
                  <c:v>0.992600160081265</c:v>
                </c:pt>
                <c:pt idx="5">
                  <c:v>-3.81562935393031</c:v>
                </c:pt>
                <c:pt idx="6">
                  <c:v>8.9325462575184</c:v>
                </c:pt>
                <c:pt idx="7">
                  <c:v>11.7929063366152</c:v>
                </c:pt>
                <c:pt idx="8">
                  <c:v>13.3591656160747</c:v>
                </c:pt>
                <c:pt idx="9">
                  <c:v>6.66713657907113</c:v>
                </c:pt>
                <c:pt idx="10">
                  <c:v>3.90154690467928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73954"/>
        <c:axId val="720964279"/>
      </c:lineChart>
      <c:catAx>
        <c:axId val="94042040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421161660"/>
        <c:crosses val="autoZero"/>
        <c:auto val="1"/>
        <c:lblAlgn val="ctr"/>
        <c:lblOffset val="100"/>
        <c:noMultiLvlLbl val="0"/>
      </c:catAx>
      <c:valAx>
        <c:axId val="4211616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Times New Roman" panose="02020603050405020304" charset="0"/>
                    <a:cs typeface="Times New Roman" panose="02020603050405020304" charset="0"/>
                    <a:sym typeface="Times New Roman" panose="02020603050405020304" charset="0"/>
                  </a:defRPr>
                </a:pPr>
                <a:r>
                  <a:t>（万千瓦时）</a:t>
                </a:r>
              </a:p>
            </c:rich>
          </c:tx>
          <c:layout>
            <c:manualLayout>
              <c:xMode val="edge"/>
              <c:yMode val="edge"/>
              <c:x val="0.0306398005816369"/>
              <c:y val="0.73640753259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940420405"/>
        <c:crosses val="autoZero"/>
        <c:crossBetween val="between"/>
      </c:valAx>
      <c:catAx>
        <c:axId val="107873954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720964279"/>
        <c:crosses val="autoZero"/>
        <c:auto val="1"/>
        <c:lblAlgn val="ctr"/>
        <c:lblOffset val="100"/>
        <c:noMultiLvlLbl val="0"/>
      </c:catAx>
      <c:valAx>
        <c:axId val="720964279"/>
        <c:scaling>
          <c:orientation val="minMax"/>
        </c:scaling>
        <c:delete val="0"/>
        <c:axPos val="r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Times New Roman" panose="02020603050405020304" charset="0"/>
                    <a:cs typeface="Times New Roman" panose="02020603050405020304" charset="0"/>
                    <a:sym typeface="Times New Roman" panose="02020603050405020304" charset="0"/>
                  </a:defRPr>
                </a:pPr>
                <a:r>
                  <a:rPr>
                    <a:latin typeface="+mn-ea"/>
                    <a:ea typeface="+mn-ea"/>
                    <a:cs typeface="+mn-ea"/>
                  </a:rPr>
                  <a:t>（</a:t>
                </a:r>
                <a:r>
                  <a:rPr lang="en-US" altLang="zh-CN">
                    <a:latin typeface="+mn-ea"/>
                    <a:ea typeface="+mn-ea"/>
                    <a:cs typeface="+mn-ea"/>
                  </a:rPr>
                  <a:t>%</a:t>
                </a:r>
                <a:r>
                  <a:rPr altLang="en-US">
                    <a:latin typeface="+mn-ea"/>
                    <a:ea typeface="+mn-ea"/>
                    <a:cs typeface="+mn-ea"/>
                  </a:rPr>
                  <a:t>）</a:t>
                </a:r>
                <a:endParaRPr altLang="en-US">
                  <a:latin typeface="+mn-ea"/>
                  <a:ea typeface="+mn-ea"/>
                  <a:cs typeface="+mn-ea"/>
                </a:endParaRPr>
              </a:p>
            </c:rich>
          </c:tx>
          <c:layout>
            <c:manualLayout>
              <c:xMode val="edge"/>
              <c:yMode val="edge"/>
              <c:x val="0.869443290402991"/>
              <c:y val="0.72795750845002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107873954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Times New Roman" panose="02020603050405020304" charset="0"/>
              <a:ea typeface="Times New Roman" panose="02020603050405020304" charset="0"/>
              <a:cs typeface="Times New Roman" panose="02020603050405020304" charset="0"/>
              <a:sym typeface="Times New Roman" panose="02020603050405020304" charset="0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8e8737f-b35e-4e21-a968-81842b2f6874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ysClr val="windowText" lastClr="000000"/>
          </a:solidFill>
          <a:latin typeface="Times New Roman" panose="02020603050405020304" charset="0"/>
          <a:ea typeface="Times New Roman" panose="02020603050405020304" charset="0"/>
          <a:cs typeface="Times New Roman" panose="02020603050405020304" charset="0"/>
          <a:sym typeface="Times New Roman" panose="02020603050405020304" charset="0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566931509605"/>
          <c:y val="0.117801047120419"/>
          <c:w val="0.757397163833853"/>
          <c:h val="0.59433603046168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'[电力看经济2024年月报公式（不含全省）11月（只包含杭州与其他区县版.xlsx]月同比'!$A$32</c:f>
              <c:strCache>
                <c:ptCount val="1"/>
                <c:pt idx="0">
                  <c:v>2023年用电量（万千瓦时）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'[电力看经济2024年月报公式（不含全省）11月（只包含杭州与其他区县版.xlsx]月同比'!$B$31:$M$31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'[电力看经济2024年月报公式（不含全省）11月（只包含杭州与其他区县版.xlsx]月同比'!$B$32:$M$32</c:f>
              <c:numCache>
                <c:formatCode>General</c:formatCode>
                <c:ptCount val="12"/>
                <c:pt idx="0">
                  <c:v>48985.6688</c:v>
                </c:pt>
                <c:pt idx="1">
                  <c:v>99196.811</c:v>
                </c:pt>
                <c:pt idx="2">
                  <c:v>123202.4287</c:v>
                </c:pt>
                <c:pt idx="3" c:formatCode="@">
                  <c:v>121458.7565</c:v>
                </c:pt>
                <c:pt idx="4" c:formatCode="@">
                  <c:v>118272.4746</c:v>
                </c:pt>
                <c:pt idx="5" c:formatCode="@">
                  <c:v>117926.235</c:v>
                </c:pt>
                <c:pt idx="6" c:formatCode="@">
                  <c:v>130921.5599</c:v>
                </c:pt>
                <c:pt idx="7" c:formatCode="@">
                  <c:v>132451.6509</c:v>
                </c:pt>
                <c:pt idx="8" c:formatCode="@">
                  <c:v>117740.5804</c:v>
                </c:pt>
                <c:pt idx="9" c:formatCode="0.0_ ">
                  <c:v>110289.3815</c:v>
                </c:pt>
                <c:pt idx="10" c:formatCode="0.00_);[Red]\(0.00\)">
                  <c:v>117596.9635</c:v>
                </c:pt>
                <c:pt idx="11" c:formatCode="@">
                  <c:v>119263.2108</c:v>
                </c:pt>
              </c:numCache>
            </c:numRef>
          </c:val>
        </c:ser>
        <c:ser>
          <c:idx val="1"/>
          <c:order val="1"/>
          <c:tx>
            <c:strRef>
              <c:f>'[电力看经济2024年月报公式（不含全省）11月（只包含杭州与其他区县版.xlsx]月同比'!$A$33</c:f>
              <c:strCache>
                <c:ptCount val="1"/>
                <c:pt idx="0">
                  <c:v>2024年用电量（万千瓦时）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'[电力看经济2024年月报公式（不含全省）11月（只包含杭州与其他区县版.xlsx]月同比'!$B$31:$M$31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'[电力看经济2024年月报公式（不含全省）11月（只包含杭州与其他区县版.xlsx]月同比'!$B$33:$M$33</c:f>
              <c:numCache>
                <c:formatCode>General</c:formatCode>
                <c:ptCount val="12"/>
                <c:pt idx="0">
                  <c:v>117503.6938</c:v>
                </c:pt>
                <c:pt idx="1" c:formatCode="@">
                  <c:v>52904.939</c:v>
                </c:pt>
                <c:pt idx="2">
                  <c:v>125362.1605</c:v>
                </c:pt>
                <c:pt idx="3" c:formatCode="@">
                  <c:v>121872.6474</c:v>
                </c:pt>
                <c:pt idx="4">
                  <c:v>116562.6232</c:v>
                </c:pt>
                <c:pt idx="5">
                  <c:v>114880.6414</c:v>
                </c:pt>
                <c:pt idx="6">
                  <c:v>134042.8759</c:v>
                </c:pt>
                <c:pt idx="7">
                  <c:v>128252.3376</c:v>
                </c:pt>
                <c:pt idx="8">
                  <c:v>125439.7319</c:v>
                </c:pt>
                <c:pt idx="9">
                  <c:v>120621.5904</c:v>
                </c:pt>
                <c:pt idx="10" c:formatCode="@">
                  <c:v>120721.4177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0420405"/>
        <c:axId val="421161660"/>
      </c:barChart>
      <c:lineChart>
        <c:grouping val="standard"/>
        <c:varyColors val="0"/>
        <c:ser>
          <c:idx val="2"/>
          <c:order val="2"/>
          <c:tx>
            <c:strRef>
              <c:f>'[电力看经济2024年月报公式（不含全省）11月（只包含杭州与其他区县版.xlsx]月同比'!$A$34</c:f>
              <c:strCache>
                <c:ptCount val="1"/>
                <c:pt idx="0">
                  <c:v>2023年同比（%）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elete val="1"/>
          </c:dLbls>
          <c:cat>
            <c:strRef>
              <c:f>'[电力看经济2024年月报公式（不含全省）11月（只包含杭州与其他区县版.xlsx]月同比'!$B$31:$M$31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'[电力看经济2024年月报公式（不含全省）11月（只包含杭州与其他区县版.xlsx]月同比'!$B$34:$M$34</c:f>
              <c:numCache>
                <c:formatCode>0.00_);[Red]\(0.00\)</c:formatCode>
                <c:ptCount val="12"/>
                <c:pt idx="0">
                  <c:v>-48.5761423184504</c:v>
                </c:pt>
                <c:pt idx="1">
                  <c:v>47.1863328514577</c:v>
                </c:pt>
                <c:pt idx="2">
                  <c:v>-5.0706188167643</c:v>
                </c:pt>
                <c:pt idx="3">
                  <c:v>8.20614446570116</c:v>
                </c:pt>
                <c:pt idx="4">
                  <c:v>7.36617359266426</c:v>
                </c:pt>
                <c:pt idx="5">
                  <c:v>-1.11273452331638</c:v>
                </c:pt>
                <c:pt idx="6">
                  <c:v>7.87239307380051</c:v>
                </c:pt>
                <c:pt idx="7">
                  <c:v>13.7038783425318</c:v>
                </c:pt>
                <c:pt idx="8">
                  <c:v>0.895148502123068</c:v>
                </c:pt>
                <c:pt idx="9">
                  <c:v>-1.39870983426452</c:v>
                </c:pt>
                <c:pt idx="10">
                  <c:v>10.9888130986551</c:v>
                </c:pt>
                <c:pt idx="11">
                  <c:v>7.20616464551332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'[电力看经济2024年月报公式（不含全省）11月（只包含杭州与其他区县版.xlsx]月同比'!$A$35</c:f>
              <c:strCache>
                <c:ptCount val="1"/>
                <c:pt idx="0">
                  <c:v>2024年同比（%）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'[电力看经济2024年月报公式（不含全省）11月（只包含杭州与其他区县版.xlsx]月同比'!$B$31:$M$31</c:f>
              <c:strCache>
                <c:ptCount val="12"/>
                <c:pt idx="0" c:formatCode="0.0_ ">
                  <c:v>1月</c:v>
                </c:pt>
                <c:pt idx="1" c:formatCode="0.0_ ">
                  <c:v>2月</c:v>
                </c:pt>
                <c:pt idx="2" c:formatCode="0.0_ ">
                  <c:v>3月</c:v>
                </c:pt>
                <c:pt idx="3" c:formatCode="0.0_ ">
                  <c:v>4月</c:v>
                </c:pt>
                <c:pt idx="4" c:formatCode="0.0_ ">
                  <c:v>5月</c:v>
                </c:pt>
                <c:pt idx="5" c:formatCode="0.0_ ">
                  <c:v>6月</c:v>
                </c:pt>
                <c:pt idx="6" c:formatCode="0.0_ ">
                  <c:v>7月</c:v>
                </c:pt>
                <c:pt idx="7" c:formatCode="0.0_ ">
                  <c:v>8月</c:v>
                </c:pt>
                <c:pt idx="8" c:formatCode="0.0_ ">
                  <c:v>9月</c:v>
                </c:pt>
                <c:pt idx="9" c:formatCode="0.0_ ">
                  <c:v>10月</c:v>
                </c:pt>
                <c:pt idx="10" c:formatCode="0.0_ ">
                  <c:v>11月</c:v>
                </c:pt>
                <c:pt idx="11" c:formatCode="0.0_ ">
                  <c:v>12月</c:v>
                </c:pt>
              </c:strCache>
            </c:strRef>
          </c:cat>
          <c:val>
            <c:numRef>
              <c:f>'[电力看经济2024年月报公式（不含全省）11月（只包含杭州与其他区县版.xlsx]月同比'!$B$35:$M$35</c:f>
              <c:numCache>
                <c:formatCode>0.00_);[Red]\(0.00\)</c:formatCode>
                <c:ptCount val="12"/>
                <c:pt idx="0">
                  <c:v>139.87361340262</c:v>
                </c:pt>
                <c:pt idx="1">
                  <c:v>-46.6666937508707</c:v>
                </c:pt>
                <c:pt idx="2">
                  <c:v>1.75299450082999</c:v>
                </c:pt>
                <c:pt idx="3">
                  <c:v>0.340766620642949</c:v>
                </c:pt>
                <c:pt idx="4">
                  <c:v>-1.44568836137297</c:v>
                </c:pt>
                <c:pt idx="5">
                  <c:v>-2.58262599497051</c:v>
                </c:pt>
                <c:pt idx="6">
                  <c:v>2.38411152630944</c:v>
                </c:pt>
                <c:pt idx="7">
                  <c:v>-3.17044995020142</c:v>
                </c:pt>
                <c:pt idx="8">
                  <c:v>6.53908064139286</c:v>
                </c:pt>
                <c:pt idx="9">
                  <c:v>9.36827168624569</c:v>
                </c:pt>
                <c:pt idx="10">
                  <c:v>2.65691741266772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73954"/>
        <c:axId val="720964279"/>
      </c:lineChart>
      <c:catAx>
        <c:axId val="94042040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421161660"/>
        <c:crosses val="autoZero"/>
        <c:auto val="1"/>
        <c:lblAlgn val="ctr"/>
        <c:lblOffset val="100"/>
        <c:noMultiLvlLbl val="0"/>
      </c:catAx>
      <c:valAx>
        <c:axId val="4211616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  <a:r>
                  <a:rPr>
                    <a:latin typeface="+mn-ea"/>
                    <a:ea typeface="+mn-ea"/>
                    <a:cs typeface="+mn-ea"/>
                    <a:sym typeface="+mn-ea"/>
                  </a:rPr>
                  <a:t>（万千瓦时）</a:t>
                </a:r>
                <a:endParaRPr>
                  <a:latin typeface="+mn-ea"/>
                  <a:ea typeface="+mn-ea"/>
                  <a:cs typeface="+mn-ea"/>
                  <a:sym typeface="+mn-ea"/>
                </a:endParaRPr>
              </a:p>
            </c:rich>
          </c:tx>
          <c:layout>
            <c:manualLayout>
              <c:xMode val="edge"/>
              <c:yMode val="edge"/>
              <c:x val="0.0150859901438198"/>
              <c:y val="0.7425035697287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940420405"/>
        <c:crosses val="autoZero"/>
        <c:crossBetween val="between"/>
      </c:valAx>
      <c:catAx>
        <c:axId val="107873954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720964279"/>
        <c:crosses val="autoZero"/>
        <c:auto val="1"/>
        <c:lblAlgn val="ctr"/>
        <c:lblOffset val="100"/>
        <c:noMultiLvlLbl val="0"/>
      </c:catAx>
      <c:valAx>
        <c:axId val="720964279"/>
        <c:scaling>
          <c:orientation val="minMax"/>
        </c:scaling>
        <c:delete val="0"/>
        <c:axPos val="r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charset="0"/>
                    <a:ea typeface="Times New Roman" panose="02020603050405020304" charset="0"/>
                    <a:cs typeface="Times New Roman" panose="02020603050405020304" charset="0"/>
                    <a:sym typeface="Times New Roman" panose="02020603050405020304" charset="0"/>
                  </a:defRPr>
                </a:pPr>
                <a:r>
                  <a:rPr altLang="en-US">
                    <a:latin typeface="+mn-ea"/>
                    <a:ea typeface="+mn-ea"/>
                    <a:cs typeface="+mn-ea"/>
                  </a:rPr>
                  <a:t>（</a:t>
                </a:r>
                <a:r>
                  <a:rPr lang="en-US" altLang="zh-CN">
                    <a:latin typeface="+mn-ea"/>
                    <a:ea typeface="+mn-ea"/>
                    <a:cs typeface="+mn-ea"/>
                  </a:rPr>
                  <a:t>%</a:t>
                </a:r>
                <a:r>
                  <a:rPr altLang="en-US">
                    <a:latin typeface="+mn-ea"/>
                    <a:ea typeface="+mn-ea"/>
                    <a:cs typeface="+mn-ea"/>
                  </a:rPr>
                  <a:t>）</a:t>
                </a:r>
                <a:endParaRPr altLang="en-US">
                  <a:latin typeface="+mn-ea"/>
                  <a:ea typeface="+mn-ea"/>
                  <a:cs typeface="+mn-ea"/>
                </a:endParaRPr>
              </a:p>
            </c:rich>
          </c:tx>
          <c:layout>
            <c:manualLayout>
              <c:xMode val="edge"/>
              <c:yMode val="edge"/>
              <c:x val="0.894699788796138"/>
              <c:y val="0.7349357448833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107873954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Times New Roman" panose="02020603050405020304" charset="0"/>
              <a:ea typeface="Times New Roman" panose="02020603050405020304" charset="0"/>
              <a:cs typeface="Times New Roman" panose="02020603050405020304" charset="0"/>
              <a:sym typeface="Times New Roman" panose="02020603050405020304" charset="0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fe860d51-7a56-4252-8f01-2f4960e5829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ysClr val="windowText" lastClr="000000"/>
          </a:solidFill>
          <a:latin typeface="Times New Roman" panose="02020603050405020304" charset="0"/>
          <a:ea typeface="Times New Roman" panose="02020603050405020304" charset="0"/>
          <a:cs typeface="Times New Roman" panose="02020603050405020304" charset="0"/>
          <a:sym typeface="Times New Roman" panose="02020603050405020304" charset="0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571D3-DBA1-4FA5-B612-816C77A76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2766</Words>
  <Characters>4062</Characters>
  <Lines>476</Lines>
  <Paragraphs>688</Paragraphs>
  <TotalTime>0</TotalTime>
  <ScaleCrop>false</ScaleCrop>
  <LinksUpToDate>false</LinksUpToDate>
  <CharactersWithSpaces>4111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2024-11-01T07:55:00Z</dcterms:created>
  <dc:creator>user</dc:creator>
  <cp:lastModifiedBy>里里</cp:lastModifiedBy>
  <cp:lastPrinted>2024-11-08T09:16:00Z</cp:lastPrinted>
  <dcterms:modified xsi:type="dcterms:W3CDTF">2024-12-09T07:13:40Z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44A3BC1F4E2E4E4E883D54ABCF8A0419_13</vt:lpwstr>
  </property>
</Properties>
</file>