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71C7" w:rsidRDefault="00721D7E">
      <w:pPr>
        <w:pStyle w:val="1"/>
        <w:spacing w:before="240" w:after="120"/>
        <w:rPr>
          <w:lang w:eastAsia="zh-CN"/>
        </w:rPr>
      </w:pPr>
      <w:r>
        <w:rPr>
          <w:rFonts w:ascii="黑体" w:eastAsia="黑体" w:hAnsi="黑体"/>
          <w:color w:val="000000"/>
          <w:lang w:eastAsia="zh-CN"/>
        </w:rPr>
        <w:t>一、项目</w:t>
      </w:r>
      <w:r w:rsidRPr="00537F59">
        <w:rPr>
          <w:rFonts w:ascii="黑体" w:eastAsia="黑体" w:hAnsi="黑体"/>
          <w:color w:val="000000"/>
          <w:highlight w:val="yellow"/>
          <w:lang w:eastAsia="zh-CN"/>
        </w:rPr>
        <w:t>概</w:t>
      </w:r>
      <w:r w:rsidR="00537F59" w:rsidRPr="00537F59">
        <w:rPr>
          <w:rFonts w:ascii="黑体" w:eastAsia="黑体" w:hAnsi="黑体" w:hint="eastAsia"/>
          <w:color w:val="000000"/>
          <w:highlight w:val="yellow"/>
          <w:lang w:eastAsia="zh-CN"/>
        </w:rPr>
        <w:t>框</w:t>
      </w:r>
    </w:p>
    <w:p w:rsidR="006871C7" w:rsidRDefault="00721D7E">
      <w:pPr>
        <w:pStyle w:val="21"/>
        <w:spacing w:before="120" w:after="120"/>
        <w:rPr>
          <w:lang w:eastAsia="zh-CN"/>
        </w:rPr>
      </w:pPr>
      <w:r>
        <w:rPr>
          <w:rFonts w:ascii="宋体" w:eastAsia="宋体" w:hAnsi="宋体"/>
          <w:color w:val="000000"/>
          <w:sz w:val="28"/>
          <w:lang w:eastAsia="zh-CN"/>
        </w:rPr>
        <w:t>1、项目</w:t>
      </w:r>
      <w:r w:rsidRPr="00537F59">
        <w:rPr>
          <w:rFonts w:ascii="宋体" w:eastAsia="宋体" w:hAnsi="宋体"/>
          <w:color w:val="000000"/>
          <w:sz w:val="28"/>
          <w:highlight w:val="yellow"/>
          <w:lang w:eastAsia="zh-CN"/>
        </w:rPr>
        <w:t>诉</w:t>
      </w:r>
      <w:r w:rsidR="00537F59" w:rsidRPr="00537F59">
        <w:rPr>
          <w:rFonts w:ascii="宋体" w:eastAsia="宋体" w:hAnsi="宋体" w:hint="eastAsia"/>
          <w:color w:val="000000"/>
          <w:sz w:val="28"/>
          <w:highlight w:val="yellow"/>
          <w:lang w:eastAsia="zh-CN"/>
        </w:rPr>
        <w:t>球</w:t>
      </w:r>
    </w:p>
    <w:p w:rsidR="006871C7" w:rsidRDefault="00721D7E">
      <w:pPr>
        <w:spacing w:after="0" w:line="360" w:lineRule="auto"/>
        <w:ind w:firstLine="560"/>
        <w:rPr>
          <w:lang w:eastAsia="zh-CN"/>
        </w:rPr>
      </w:pPr>
      <w:r>
        <w:rPr>
          <w:lang w:eastAsia="zh-CN"/>
        </w:rPr>
        <w:t>本项目处于规划或前期</w:t>
      </w:r>
      <w:r w:rsidR="00537F59" w:rsidRPr="00537F59">
        <w:rPr>
          <w:rFonts w:hint="eastAsia"/>
          <w:highlight w:val="yellow"/>
          <w:lang w:eastAsia="zh-CN"/>
        </w:rPr>
        <w:t>截断</w:t>
      </w:r>
      <w:r>
        <w:rPr>
          <w:lang w:eastAsia="zh-CN"/>
        </w:rPr>
        <w:t>，旨在通过全生命周期的投资优化定量计算，明确项目所需建设的各类能源电力设施的最佳建设规模和生命周期内的最优出力水平。</w:t>
      </w:r>
    </w:p>
    <w:p w:rsidR="006871C7" w:rsidRDefault="00721D7E">
      <w:pPr>
        <w:spacing w:after="0" w:line="360" w:lineRule="auto"/>
        <w:ind w:firstLine="560"/>
        <w:rPr>
          <w:lang w:eastAsia="zh-CN"/>
        </w:rPr>
      </w:pPr>
      <w:r>
        <w:rPr>
          <w:lang w:eastAsia="zh-CN"/>
        </w:rPr>
        <w:t>报告所提投资优化分析适用于新型电力系统、综合能源项目、微电网项目以及传统电力系统项目，具体支持冷热电气各类机组和设备模型，负荷类型支持城市类型、工业类型等，优化目标支持社会效益最大和财务效益最佳等。计算中已经内置了</w:t>
      </w:r>
      <w:r>
        <w:rPr>
          <w:lang w:eastAsia="zh-CN"/>
        </w:rPr>
        <w:t>8760h</w:t>
      </w:r>
      <w:r>
        <w:rPr>
          <w:lang w:eastAsia="zh-CN"/>
        </w:rPr>
        <w:t>负荷</w:t>
      </w:r>
      <w:r w:rsidR="00537F59" w:rsidRPr="00537F59">
        <w:rPr>
          <w:rFonts w:hint="eastAsia"/>
          <w:highlight w:val="yellow"/>
          <w:lang w:eastAsia="zh-CN"/>
        </w:rPr>
        <w:t>特行</w:t>
      </w:r>
      <w:r>
        <w:rPr>
          <w:lang w:eastAsia="zh-CN"/>
        </w:rPr>
        <w:t>、新能源出力特性已经分时电价等信息。</w:t>
      </w:r>
    </w:p>
    <w:p w:rsidR="006871C7" w:rsidRDefault="00721D7E">
      <w:pPr>
        <w:spacing w:after="0" w:line="360" w:lineRule="auto"/>
        <w:ind w:firstLine="560"/>
        <w:rPr>
          <w:lang w:eastAsia="zh-CN"/>
        </w:rPr>
      </w:pPr>
      <w:r>
        <w:rPr>
          <w:lang w:eastAsia="zh-CN"/>
        </w:rPr>
        <w:t>投资优化定量计算分析的优势主要体现于能够精确计算涉及以下难点的场景：</w:t>
      </w:r>
    </w:p>
    <w:p w:rsidR="006871C7" w:rsidRDefault="00721D7E">
      <w:pPr>
        <w:spacing w:after="0" w:line="360" w:lineRule="auto"/>
        <w:ind w:firstLine="560"/>
        <w:rPr>
          <w:lang w:eastAsia="zh-CN"/>
        </w:rPr>
      </w:pPr>
      <w:r>
        <w:t>1</w:t>
      </w:r>
      <w:r>
        <w:t>）支持全生命周期及</w:t>
      </w:r>
      <w:r>
        <w:t>8760h</w:t>
      </w:r>
      <w:r>
        <w:t>的分析。</w:t>
      </w:r>
      <w:r>
        <w:rPr>
          <w:lang w:eastAsia="zh-CN"/>
        </w:rPr>
        <w:t>实际上投资优化分析必须通过</w:t>
      </w:r>
      <w:r>
        <w:rPr>
          <w:lang w:eastAsia="zh-CN"/>
        </w:rPr>
        <w:t>8760h</w:t>
      </w:r>
      <w:r>
        <w:rPr>
          <w:lang w:eastAsia="zh-CN"/>
        </w:rPr>
        <w:t>以上的时间颗粒度进行计算，通盘考虑全生命周期内每一个小时的负荷和新能源特性，将负荷和出力时间序列背后隐含的统计特性完整的反应在项目分析中，才能明确传统峰腰谷断面分析中无法明确的动态因素。</w:t>
      </w:r>
    </w:p>
    <w:p w:rsidR="006871C7" w:rsidRDefault="00721D7E">
      <w:pPr>
        <w:spacing w:after="0" w:line="360" w:lineRule="auto"/>
        <w:ind w:firstLine="560"/>
        <w:rPr>
          <w:lang w:eastAsia="zh-CN"/>
        </w:rPr>
      </w:pPr>
      <w:r>
        <w:rPr>
          <w:lang w:eastAsia="zh-CN"/>
        </w:rPr>
        <w:t>2</w:t>
      </w:r>
      <w:r>
        <w:rPr>
          <w:lang w:eastAsia="zh-CN"/>
        </w:rPr>
        <w:t>）支持新能源、蓄能体系、多能联供、能源转换等设施。传统</w:t>
      </w:r>
      <w:proofErr w:type="gramStart"/>
      <w:r>
        <w:rPr>
          <w:lang w:eastAsia="zh-CN"/>
        </w:rPr>
        <w:t>峰腰谷断面</w:t>
      </w:r>
      <w:proofErr w:type="gramEnd"/>
      <w:r>
        <w:rPr>
          <w:lang w:eastAsia="zh-CN"/>
        </w:rPr>
        <w:t>分析的核心是在全生命周期内抽取系统最恶劣运行工况，校核能源电力系统的功率和能量平衡水平，进一步可通过机组组合或生产模拟的分析手段优化和校核系统运行方式。然而前者无法考虑蓄能能量的时间依赖性和机组爬坡能力、出力水平限制等因素；后者能够以</w:t>
      </w:r>
      <w:r>
        <w:rPr>
          <w:lang w:eastAsia="zh-CN"/>
        </w:rPr>
        <w:t>8760h</w:t>
      </w:r>
      <w:r>
        <w:rPr>
          <w:lang w:eastAsia="zh-CN"/>
        </w:rPr>
        <w:t>的方式精确计算最优出力组合，却无法明确最优建设规模和投资水平，即初始投资成本和生命周期内运行成本的优化没有做到闭环优化。以上问题决定了新能源大规模接入电力系统，综合能源项目、分布式</w:t>
      </w:r>
      <w:proofErr w:type="gramStart"/>
      <w:r>
        <w:rPr>
          <w:lang w:eastAsia="zh-CN"/>
        </w:rPr>
        <w:t>冷热电项目</w:t>
      </w:r>
      <w:proofErr w:type="gramEnd"/>
      <w:r>
        <w:rPr>
          <w:lang w:eastAsia="zh-CN"/>
        </w:rPr>
        <w:t>和微电网项目快速发展的背景下，宏观的能源发展路线分析、能源规划分析，中观的区域能源电力系统、综合能源系统规划分析，以及微观的</w:t>
      </w:r>
      <w:proofErr w:type="gramStart"/>
      <w:r>
        <w:rPr>
          <w:lang w:eastAsia="zh-CN"/>
        </w:rPr>
        <w:t>源网荷储</w:t>
      </w:r>
      <w:proofErr w:type="gramEnd"/>
      <w:r>
        <w:rPr>
          <w:lang w:eastAsia="zh-CN"/>
        </w:rPr>
        <w:t>一体化项目和多能互补一体化项目的立项分析，都遇到了分析手段严重不足的问题。而本报告能够较为有效的解决上述问题。</w:t>
      </w:r>
    </w:p>
    <w:p w:rsidR="006871C7" w:rsidRDefault="00721D7E">
      <w:pPr>
        <w:spacing w:after="0" w:line="360" w:lineRule="auto"/>
        <w:ind w:firstLine="560"/>
        <w:rPr>
          <w:lang w:eastAsia="zh-CN"/>
        </w:rPr>
      </w:pPr>
      <w:r>
        <w:rPr>
          <w:lang w:eastAsia="zh-CN"/>
        </w:rPr>
        <w:t>3</w:t>
      </w:r>
      <w:r>
        <w:rPr>
          <w:lang w:eastAsia="zh-CN"/>
        </w:rPr>
        <w:t>）定量计算结果的决策</w:t>
      </w:r>
      <w:r w:rsidR="00537F59" w:rsidRPr="00537F59">
        <w:rPr>
          <w:rFonts w:hint="eastAsia"/>
          <w:highlight w:val="yellow"/>
          <w:lang w:eastAsia="zh-CN"/>
        </w:rPr>
        <w:t>智齿</w:t>
      </w:r>
      <w:bookmarkStart w:id="0" w:name="_GoBack"/>
      <w:bookmarkEnd w:id="0"/>
      <w:r>
        <w:rPr>
          <w:lang w:eastAsia="zh-CN"/>
        </w:rPr>
        <w:t>应用。报告计算结果具有广泛的适用性，最优建设规模信息能够为能源发展路线分析、能源电力规划分析提供最优终端用能结构、一次及二次能源供能结构等方面的决策信息，为产业规划提供转型相关的有效参考；</w:t>
      </w:r>
      <w:r>
        <w:rPr>
          <w:lang w:eastAsia="zh-CN"/>
        </w:rPr>
        <w:lastRenderedPageBreak/>
        <w:t>能够为能源电力系统、综合能源系统项目的优化规划提供建设规模、造价、成本方面的决策信息；能够为源</w:t>
      </w:r>
      <w:proofErr w:type="gramStart"/>
      <w:r>
        <w:rPr>
          <w:lang w:eastAsia="zh-CN"/>
        </w:rPr>
        <w:t>网荷储</w:t>
      </w:r>
      <w:proofErr w:type="gramEnd"/>
      <w:r>
        <w:rPr>
          <w:lang w:eastAsia="zh-CN"/>
        </w:rPr>
        <w:t>一体化项目、多能互补一体化项目、用户侧项目、微电网项目等提供基于社会效益和财务效益最优的定量结论，且能对项目建成后的日内运行优化提供有效的方式参考。</w:t>
      </w:r>
    </w:p>
    <w:sectPr w:rsidR="006871C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67BA3" w:rsidRDefault="00721D7E">
      <w:pPr>
        <w:spacing w:after="0" w:line="240" w:lineRule="auto"/>
      </w:pPr>
      <w:r>
        <w:separator/>
      </w:r>
    </w:p>
  </w:endnote>
  <w:endnote w:type="continuationSeparator" w:id="0">
    <w:p w:rsidR="00567BA3" w:rsidRDefault="00721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67BA3" w:rsidRDefault="00721D7E">
      <w:pPr>
        <w:spacing w:after="0" w:line="240" w:lineRule="auto"/>
      </w:pPr>
      <w:r>
        <w:separator/>
      </w:r>
    </w:p>
  </w:footnote>
  <w:footnote w:type="continuationSeparator" w:id="0">
    <w:p w:rsidR="00567BA3" w:rsidRDefault="00721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7F59"/>
    <w:rsid w:val="00567BA3"/>
    <w:rsid w:val="006871C7"/>
    <w:rsid w:val="00721D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02697"/>
  <w14:defaultImageDpi w14:val="300"/>
  <w15:docId w15:val="{BF907C46-91BB-4237-B824-51A32F23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eastAsia="宋体" w:hAnsi="Times New Roman"/>
      <w:color w:val="000000"/>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ff9">
    <w:name w:val="报告标题"/>
    <w:rPr>
      <w:rFonts w:ascii="黑体" w:eastAsia="黑体" w:hAnsi="黑体"/>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41C3B-C571-489E-8916-03DBA91EC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tutu</cp:lastModifiedBy>
  <cp:revision>3</cp:revision>
  <dcterms:created xsi:type="dcterms:W3CDTF">2013-12-23T23:15:00Z</dcterms:created>
  <dcterms:modified xsi:type="dcterms:W3CDTF">2023-09-28T02:58:00Z</dcterms:modified>
  <cp:category/>
</cp:coreProperties>
</file>