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960462">
      <w:pPr>
        <w:pStyle w:val="2"/>
      </w:pPr>
      <w:bookmarkStart w:id="0" w:name="rbac-设计同步说明"/>
      <w:r>
        <w:t>RBAC 设计同步说明</w:t>
      </w:r>
    </w:p>
    <w:p w14:paraId="3923288F">
      <w:r>
        <w:rPr>
          <w:b/>
          <w:bCs/>
        </w:rPr>
        <w:t>文档性质</w:t>
      </w:r>
      <w:r>
        <w:t xml:space="preserve">:项目权限体系设计原则同步 · </w:t>
      </w:r>
    </w:p>
    <w:p w14:paraId="39368FFC">
      <w:r>
        <w:rPr>
          <w:b/>
          <w:bCs/>
        </w:rPr>
        <w:t>核心结论</w:t>
      </w:r>
      <w:r>
        <w:t>:MVP 阶段按标准 RBAC0 设计,够用就好,留好扩展口子</w:t>
      </w:r>
    </w:p>
    <w:p w14:paraId="7D0267A8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C78247E">
      <w:pPr>
        <w:pStyle w:val="3"/>
      </w:pPr>
      <w:bookmarkStart w:id="1" w:name="设计原则"/>
      <w:r>
        <w:t>1. 设计原则</w:t>
      </w:r>
    </w:p>
    <w:p w14:paraId="7E91999E">
      <w:pPr>
        <w:pStyle w:val="23"/>
      </w:pPr>
      <w:r>
        <w:rPr>
          <w:b/>
          <w:bCs/>
        </w:rPr>
        <w:t>MVP 阶段就按标准 RBAC0(基于角色的访问控制)来做</w:t>
      </w:r>
      <w:r>
        <w:t>——经典的”用户—角色—权限点”三件套,该有的标准结构都做扎实,但不做过度设计。</w:t>
      </w:r>
    </w:p>
    <w:p w14:paraId="572B9252">
      <w:r>
        <w:rPr>
          <w:b/>
          <w:bCs/>
        </w:rPr>
        <w:t>够用就好,留好扩展口子。</w:t>
      </w:r>
      <w:r>
        <w:t xml:space="preserve"> 任何”为了未来可能的灵活性”的设计,如果当前没有明确的业务需求驱动,一律砍掉。但标准 RBAC 该有的基础结构必须留,因为这些是零成本预留,不留反而是给未来挖坑。</w:t>
      </w:r>
    </w:p>
    <w:p w14:paraId="6ED0C92E">
      <w:pPr>
        <w:pStyle w:val="4"/>
      </w:pPr>
      <w:bookmarkStart w:id="2" w:name="明确不做的能力"/>
      <w:r>
        <w:t>明确不做的能力</w:t>
      </w:r>
    </w:p>
    <w:tbl>
      <w:tblPr>
        <w:tblStyle w:val="24"/>
        <w:tblW w:w="0" w:type="auto"/>
        <w:tblInd w:w="0" w:type="dxa"/>
        <w:tblBorders>
          <w:top w:val="single" w:color="CBD5E0" w:sz="4" w:space="0"/>
          <w:left w:val="single" w:color="CBD5E0" w:sz="4" w:space="0"/>
          <w:bottom w:val="single" w:color="CBD5E0" w:sz="4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24"/>
        <w:gridCol w:w="3866"/>
      </w:tblGrid>
      <w:tr w14:paraId="16000B72">
        <w:trPr>
          <w:tblHeader/>
        </w:trPr>
        <w:tc>
          <w:p w14:paraId="325FCA5B">
            <w:pPr>
              <w:pStyle w:val="22"/>
              <w:jc w:val="left"/>
            </w:pPr>
            <w:r>
              <w:t>不做</w:t>
            </w:r>
          </w:p>
        </w:tc>
        <w:tc>
          <w:p w14:paraId="1546EC73">
            <w:pPr>
              <w:pStyle w:val="22"/>
              <w:jc w:val="left"/>
            </w:pPr>
            <w:r>
              <w:t>原因</w:t>
            </w:r>
          </w:p>
        </w:tc>
      </w:tr>
      <w:tr w14:paraId="4F26782B">
        <w:tc>
          <w:p w14:paraId="0FE9C066">
            <w:pPr>
              <w:pStyle w:val="22"/>
              <w:jc w:val="left"/>
            </w:pPr>
            <w:r>
              <w:t>❌ 角色继承</w:t>
            </w:r>
          </w:p>
        </w:tc>
        <w:tc>
          <w:p w14:paraId="07389CF8">
            <w:pPr>
              <w:pStyle w:val="22"/>
              <w:jc w:val="left"/>
            </w:pPr>
            <w:r>
              <w:t>用户要多种能力直接挂多个角色,更清晰</w:t>
            </w:r>
          </w:p>
        </w:tc>
      </w:tr>
      <w:tr w14:paraId="0562888F">
        <w:tc>
          <w:p w14:paraId="55212EF9">
            <w:pPr>
              <w:pStyle w:val="22"/>
              <w:jc w:val="left"/>
            </w:pPr>
            <w:r>
              <w:t>❌ 基于属性的权限(ABAC)</w:t>
            </w:r>
          </w:p>
        </w:tc>
        <w:tc>
          <w:p w14:paraId="3B963353">
            <w:pPr>
              <w:pStyle w:val="22"/>
              <w:jc w:val="left"/>
            </w:pPr>
            <w:r>
              <w:t>业务复杂度远未到</w:t>
            </w:r>
          </w:p>
        </w:tc>
      </w:tr>
      <w:tr w14:paraId="17D2E000">
        <w:tc>
          <w:p w14:paraId="0090E88F">
            <w:pPr>
              <w:pStyle w:val="22"/>
              <w:jc w:val="left"/>
            </w:pPr>
            <w:r>
              <w:t>❌ 字段级权限 / 权限缓存</w:t>
            </w:r>
          </w:p>
        </w:tc>
        <w:tc>
          <w:p w14:paraId="6C28B3D9">
            <w:pPr>
              <w:pStyle w:val="22"/>
              <w:jc w:val="left"/>
            </w:pPr>
            <w:r>
              <w:t>MVP 不需要 / 数据量级不到</w:t>
            </w:r>
          </w:p>
        </w:tc>
      </w:tr>
      <w:tr w14:paraId="6BA4168C">
        <w:tc>
          <w:p w14:paraId="26BBAB15">
            <w:pPr>
              <w:pStyle w:val="22"/>
              <w:jc w:val="left"/>
            </w:pPr>
            <w:r>
              <w:t>❌ 权限管理后台 UI</w:t>
            </w:r>
          </w:p>
        </w:tc>
        <w:tc>
          <w:p w14:paraId="72981DAE">
            <w:pPr>
              <w:pStyle w:val="22"/>
              <w:jc w:val="left"/>
            </w:pPr>
            <w:r>
              <w:t>配置文件管理即可,后续再加</w:t>
            </w:r>
          </w:p>
        </w:tc>
      </w:tr>
      <w:tr w14:paraId="5FC7732F">
        <w:tc>
          <w:p w14:paraId="0620F9A2">
            <w:pPr>
              <w:pStyle w:val="22"/>
              <w:jc w:val="left"/>
            </w:pPr>
            <w:r>
              <w:t>❌ 数据权限策略引擎</w:t>
            </w:r>
          </w:p>
        </w:tc>
        <w:tc>
          <w:p w14:paraId="7B6A95A9">
            <w:pPr>
              <w:pStyle w:val="22"/>
              <w:jc w:val="left"/>
            </w:pPr>
            <w:r>
              <w:t>用归属字段直接过滤即可</w:t>
            </w:r>
          </w:p>
        </w:tc>
      </w:tr>
    </w:tbl>
    <w:p w14:paraId="10487379">
      <w:r>
        <w:t>这些是企业级 RBAC 系统的”高阶能力”,MVP 做了反而增加维护负担,后续业务起量时再按需补,</w:t>
      </w:r>
      <w:r>
        <w:rPr>
          <w:b/>
          <w:bCs/>
        </w:rPr>
        <w:t>届时 schema 不用动</w:t>
      </w:r>
      <w:r>
        <w:t>。</w:t>
      </w:r>
    </w:p>
    <w:p w14:paraId="2821F8FD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2"/>
    <w:p w14:paraId="1FF59262">
      <w:pPr>
        <w:pStyle w:val="3"/>
      </w:pPr>
      <w:bookmarkStart w:id="3" w:name="组织模型"/>
      <w:r>
        <w:t>2. 组织模型</w:t>
      </w:r>
    </w:p>
    <w:p w14:paraId="46429940">
      <w:pPr>
        <w:pStyle w:val="4"/>
      </w:pPr>
      <w:bookmarkStart w:id="4" w:name="双组织实体设计"/>
      <w:r>
        <w:t>2.1 双组织实体设计</w:t>
      </w:r>
    </w:p>
    <w:p w14:paraId="4266E153">
      <w:pPr>
        <w:pStyle w:val="23"/>
      </w:pPr>
      <w:r>
        <w:t>平台涉及两类组织,各自独立建表:</w:t>
      </w:r>
    </w:p>
    <w:tbl>
      <w:tblPr>
        <w:tblStyle w:val="24"/>
        <w:tblW w:w="0" w:type="auto"/>
        <w:tblInd w:w="0" w:type="dxa"/>
        <w:tblBorders>
          <w:top w:val="single" w:color="CBD5E0" w:sz="4" w:space="0"/>
          <w:left w:val="single" w:color="CBD5E0" w:sz="4" w:space="0"/>
          <w:bottom w:val="single" w:color="CBD5E0" w:sz="4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522"/>
        <w:gridCol w:w="2279"/>
        <w:gridCol w:w="1669"/>
      </w:tblGrid>
      <w:tr w14:paraId="67C33D8B">
        <w:trPr>
          <w:tblHeader/>
        </w:trPr>
        <w:tc>
          <w:p w14:paraId="74931BE7">
            <w:pPr>
              <w:pStyle w:val="22"/>
              <w:jc w:val="left"/>
            </w:pPr>
            <w:r>
              <w:t>组织类型</w:t>
            </w:r>
          </w:p>
        </w:tc>
        <w:tc>
          <w:p w14:paraId="78D47F23">
            <w:pPr>
              <w:pStyle w:val="22"/>
              <w:jc w:val="left"/>
            </w:pPr>
            <w:r>
              <w:t>业务定位</w:t>
            </w:r>
          </w:p>
        </w:tc>
        <w:tc>
          <w:p w14:paraId="21848213">
            <w:pPr>
              <w:pStyle w:val="22"/>
              <w:jc w:val="left"/>
            </w:pPr>
            <w:r>
              <w:t>MVP 数量</w:t>
            </w:r>
          </w:p>
        </w:tc>
      </w:tr>
      <w:tr w14:paraId="4F63397F">
        <w:tc>
          <w:p w14:paraId="3B17279E">
            <w:pPr>
              <w:pStyle w:val="22"/>
              <w:jc w:val="left"/>
            </w:pPr>
            <w:r>
              <w:rPr>
                <w:b/>
                <w:bCs/>
              </w:rPr>
              <w:t>采购方组织(BuyerOrganization)</w:t>
            </w:r>
          </w:p>
        </w:tc>
        <w:tc>
          <w:p w14:paraId="74794777">
            <w:pPr>
              <w:pStyle w:val="22"/>
              <w:jc w:val="left"/>
            </w:pPr>
            <w:r>
              <w:t>央企业主(中建三局等)</w:t>
            </w:r>
          </w:p>
        </w:tc>
        <w:tc>
          <w:p w14:paraId="07C519EA">
            <w:pPr>
              <w:pStyle w:val="22"/>
              <w:jc w:val="left"/>
            </w:pPr>
            <w:r>
              <w:t>1 家</w:t>
            </w:r>
          </w:p>
        </w:tc>
      </w:tr>
      <w:tr w14:paraId="09BD2000">
        <w:tc>
          <w:p w14:paraId="14C9ADCD">
            <w:pPr>
              <w:pStyle w:val="22"/>
              <w:jc w:val="left"/>
            </w:pPr>
            <w:r>
              <w:rPr>
                <w:b/>
                <w:bCs/>
              </w:rPr>
              <w:t>供应商组织(SupplierOrganization)</w:t>
            </w:r>
          </w:p>
        </w:tc>
        <w:tc>
          <w:p w14:paraId="171A4E1D">
            <w:pPr>
              <w:pStyle w:val="22"/>
              <w:jc w:val="left"/>
            </w:pPr>
            <w:r>
              <w:t>供货企业</w:t>
            </w:r>
          </w:p>
        </w:tc>
        <w:tc>
          <w:p w14:paraId="3764C669">
            <w:pPr>
              <w:pStyle w:val="22"/>
              <w:jc w:val="left"/>
            </w:pPr>
            <w:r>
              <w:t>N 家(自助注册)</w:t>
            </w:r>
          </w:p>
        </w:tc>
      </w:tr>
      <w:bookmarkEnd w:id="4"/>
    </w:tbl>
    <w:p w14:paraId="3E01CFBB">
      <w:pPr>
        <w:pStyle w:val="4"/>
      </w:pPr>
      <w:bookmarkStart w:id="5" w:name="为什么不用一张通用-organization-表"/>
      <w:r>
        <w:t>2.2 为什么不用一张通用 Organization 表</w:t>
      </w:r>
    </w:p>
    <w:p w14:paraId="12DF8CA9">
      <w:pPr>
        <w:pStyle w:val="23"/>
      </w:pPr>
      <w:r>
        <w:t>两类组织业务属性差异巨大:采购方核心信息是内部 code,不审核;供应商核心是营业执照 + 资质 + KYC + 信用评分,走严格入驻审核;数量级差距大(采购方个位数,供应商千级);业务流程完全不同。共用一张表会让大量字段对其中一方无意义。</w:t>
      </w:r>
      <w:r>
        <w:rPr>
          <w:b/>
          <w:bCs/>
        </w:rPr>
        <w:t>分表是业界主流做法(Salesforce、SAP 都这么干)</w:t>
      </w:r>
      <w:r>
        <w:t>。</w:t>
      </w:r>
    </w:p>
    <w:bookmarkEnd w:id="5"/>
    <w:p w14:paraId="37EE7DC0">
      <w:pPr>
        <w:pStyle w:val="4"/>
      </w:pPr>
      <w:bookmarkStart w:id="6" w:name="用户与组织的关系"/>
      <w:r>
        <w:t>2.3 用户与组织的关系</w:t>
      </w:r>
    </w:p>
    <w:p w14:paraId="287DAD71">
      <w:pPr>
        <w:pStyle w:val="23"/>
      </w:pPr>
      <w:r>
        <w:t>用户通过中间表挂在组织下,</w:t>
      </w:r>
      <w:r>
        <w:rPr>
          <w:b/>
          <w:bCs/>
        </w:rPr>
        <w:t>支持一个组织多个员工账号</w:t>
      </w:r>
      <w:r>
        <w:t>(MVP 暂不暴露邀请员工功能,但 schema 已就位)。</w:t>
      </w:r>
    </w:p>
    <w:p w14:paraId="49BE3936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6"/>
    <w:p w14:paraId="6B90BE4C">
      <w:pPr>
        <w:pStyle w:val="3"/>
      </w:pPr>
      <w:bookmarkStart w:id="7" w:name="角色模型"/>
      <w:r>
        <w:t>3. 角色模型</w:t>
      </w:r>
    </w:p>
    <w:p w14:paraId="58CBA71B">
      <w:pPr>
        <w:pStyle w:val="4"/>
      </w:pPr>
      <w:bookmarkStart w:id="8" w:name="角色体系两层共-6-个角色"/>
      <w:r>
        <w:t>3.1 角色体系:两层共 6 个角色</w:t>
      </w:r>
    </w:p>
    <w:p w14:paraId="5DF40519">
      <w:pPr>
        <w:pStyle w:val="23"/>
      </w:pPr>
      <w:r>
        <w:rPr>
          <w:b/>
          <w:bCs/>
        </w:rPr>
        <w:t>第一层:平台级角色(4 个)</w:t>
      </w:r>
    </w:p>
    <w:tbl>
      <w:tblPr>
        <w:tblStyle w:val="24"/>
        <w:tblW w:w="5000" w:type="pct"/>
        <w:tblInd w:w="0" w:type="dxa"/>
        <w:tblBorders>
          <w:top w:val="single" w:color="CBD5E0" w:sz="4" w:space="0"/>
          <w:left w:val="single" w:color="CBD5E0" w:sz="4" w:space="0"/>
          <w:bottom w:val="single" w:color="CBD5E0" w:sz="4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76"/>
        <w:gridCol w:w="4964"/>
        <w:gridCol w:w="1826"/>
      </w:tblGrid>
      <w:tr w14:paraId="1497567E">
        <w:trPr>
          <w:tblHeader/>
        </w:trPr>
        <w:tc>
          <w:p w14:paraId="64DB821D">
            <w:pPr>
              <w:pStyle w:val="22"/>
              <w:jc w:val="left"/>
            </w:pPr>
            <w:r>
              <w:t>角色</w:t>
            </w:r>
          </w:p>
        </w:tc>
        <w:tc>
          <w:p w14:paraId="79BCDED5">
            <w:pPr>
              <w:pStyle w:val="22"/>
              <w:jc w:val="left"/>
            </w:pPr>
            <w:r>
              <w:t>业务定位</w:t>
            </w:r>
          </w:p>
        </w:tc>
        <w:tc>
          <w:p w14:paraId="3FF77B90">
            <w:pPr>
              <w:pStyle w:val="22"/>
              <w:jc w:val="left"/>
            </w:pPr>
            <w:r>
              <w:t>关联组织</w:t>
            </w:r>
          </w:p>
        </w:tc>
      </w:tr>
      <w:tr w14:paraId="43C04DD0">
        <w:tc>
          <w:p w14:paraId="5A2E8251">
            <w:pPr>
              <w:pStyle w:val="22"/>
              <w:jc w:val="left"/>
            </w:pPr>
            <w:r>
              <w:rPr>
                <w:b/>
                <w:bCs/>
              </w:rPr>
              <w:t>BUYER 采购方</w:t>
            </w:r>
          </w:p>
        </w:tc>
        <w:tc>
          <w:p w14:paraId="71785B30">
            <w:pPr>
              <w:pStyle w:val="22"/>
              <w:jc w:val="left"/>
            </w:pPr>
            <w:r>
              <w:t>采购方用户的基础公共权限(登录、看公开池)</w:t>
            </w:r>
          </w:p>
        </w:tc>
        <w:tc>
          <w:p w14:paraId="734E6F25">
            <w:pPr>
              <w:pStyle w:val="22"/>
              <w:jc w:val="left"/>
            </w:pPr>
            <w:r>
              <w:t>✅ BuyerOrg</w:t>
            </w:r>
          </w:p>
        </w:tc>
      </w:tr>
      <w:tr w14:paraId="01B6FEFC">
        <w:tc>
          <w:p w14:paraId="21E88FE2">
            <w:pPr>
              <w:pStyle w:val="22"/>
              <w:jc w:val="left"/>
            </w:pPr>
            <w:r>
              <w:rPr>
                <w:b/>
                <w:bCs/>
              </w:rPr>
              <w:t>SUPPLIER 供应商</w:t>
            </w:r>
          </w:p>
        </w:tc>
        <w:tc>
          <w:p w14:paraId="77CE90AF">
            <w:pPr>
              <w:pStyle w:val="22"/>
              <w:jc w:val="left"/>
            </w:pPr>
            <w:r>
              <w:t>供应商用户全部权限(档案/上架/响应询价/履约)</w:t>
            </w:r>
          </w:p>
        </w:tc>
        <w:tc>
          <w:p w14:paraId="225F4522">
            <w:pPr>
              <w:pStyle w:val="22"/>
              <w:jc w:val="left"/>
            </w:pPr>
            <w:r>
              <w:t>✅ SupplierOrg</w:t>
            </w:r>
          </w:p>
        </w:tc>
      </w:tr>
      <w:tr w14:paraId="771B56C4">
        <w:tc>
          <w:p w14:paraId="71D39C84">
            <w:pPr>
              <w:pStyle w:val="22"/>
              <w:jc w:val="left"/>
            </w:pPr>
            <w:r>
              <w:rPr>
                <w:b/>
                <w:bCs/>
              </w:rPr>
              <w:t>OPERATOR 平台运营</w:t>
            </w:r>
          </w:p>
        </w:tc>
        <w:tc>
          <w:p w14:paraId="1764F934">
            <w:pPr>
              <w:pStyle w:val="22"/>
              <w:jc w:val="left"/>
            </w:pPr>
            <w:r>
              <w:t>业务审核与监控(供应商入驻、商品上架、风控)</w:t>
            </w:r>
          </w:p>
        </w:tc>
        <w:tc>
          <w:p w14:paraId="5B62081F">
            <w:pPr>
              <w:pStyle w:val="22"/>
              <w:jc w:val="left"/>
            </w:pPr>
            <w:r>
              <w:t>❌ 内部员工</w:t>
            </w:r>
          </w:p>
        </w:tc>
      </w:tr>
      <w:tr w14:paraId="6525B7A3">
        <w:tc>
          <w:p w14:paraId="44B7C163">
            <w:pPr>
              <w:pStyle w:val="22"/>
              <w:jc w:val="left"/>
            </w:pPr>
            <w:r>
              <w:rPr>
                <w:b/>
                <w:bCs/>
              </w:rPr>
              <w:t>ADMIN 系统管理员</w:t>
            </w:r>
          </w:p>
        </w:tc>
        <w:tc>
          <w:p w14:paraId="3E2B8F64">
            <w:pPr>
              <w:pStyle w:val="22"/>
              <w:jc w:val="left"/>
            </w:pPr>
            <w:r>
              <w:t>系统级管理(用户、角色、权限、系统配置)</w:t>
            </w:r>
          </w:p>
        </w:tc>
        <w:tc>
          <w:p w14:paraId="541E9581">
            <w:pPr>
              <w:pStyle w:val="22"/>
              <w:jc w:val="left"/>
            </w:pPr>
            <w:r>
              <w:t>❌ 内部员工</w:t>
            </w:r>
          </w:p>
        </w:tc>
      </w:tr>
    </w:tbl>
    <w:p w14:paraId="000E3495">
      <w:r>
        <w:rPr>
          <w:b/>
          <w:bCs/>
        </w:rPr>
        <w:t>第二层:采购方组织内职级角色(2 个)</w:t>
      </w:r>
    </w:p>
    <w:tbl>
      <w:tblPr>
        <w:tblStyle w:val="24"/>
        <w:tblW w:w="5000" w:type="pct"/>
        <w:tblInd w:w="0" w:type="dxa"/>
        <w:tblBorders>
          <w:top w:val="single" w:color="CBD5E0" w:sz="4" w:space="0"/>
          <w:left w:val="single" w:color="CBD5E0" w:sz="4" w:space="0"/>
          <w:bottom w:val="single" w:color="CBD5E0" w:sz="4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004"/>
        <w:gridCol w:w="5262"/>
      </w:tblGrid>
      <w:tr w14:paraId="4D4E9401">
        <w:trPr>
          <w:tblHeader/>
        </w:trPr>
        <w:tc>
          <w:p w14:paraId="767FB170">
            <w:pPr>
              <w:pStyle w:val="22"/>
              <w:jc w:val="left"/>
            </w:pPr>
            <w:r>
              <w:t>角色</w:t>
            </w:r>
          </w:p>
        </w:tc>
        <w:tc>
          <w:p w14:paraId="77B19056">
            <w:pPr>
              <w:pStyle w:val="22"/>
              <w:jc w:val="left"/>
            </w:pPr>
            <w:r>
              <w:t>业务定位</w:t>
            </w:r>
          </w:p>
        </w:tc>
      </w:tr>
      <w:tr w14:paraId="6FAB2707">
        <w:tc>
          <w:p w14:paraId="4A1D22F7">
            <w:pPr>
              <w:pStyle w:val="22"/>
              <w:jc w:val="left"/>
            </w:pPr>
            <w:r>
              <w:rPr>
                <w:b/>
                <w:bCs/>
              </w:rPr>
              <w:t>PURCHASER 项目部采购员</w:t>
            </w:r>
          </w:p>
        </w:tc>
        <w:tc>
          <w:p w14:paraId="07DC95F9">
            <w:pPr>
              <w:pStyle w:val="22"/>
              <w:jc w:val="left"/>
            </w:pPr>
            <w:r>
              <w:t>日常操作:创建项目、发起询价、管理订单</w:t>
            </w:r>
          </w:p>
        </w:tc>
      </w:tr>
      <w:tr w14:paraId="1E1ECF31">
        <w:tc>
          <w:p w14:paraId="31C55D26">
            <w:pPr>
              <w:pStyle w:val="22"/>
              <w:jc w:val="left"/>
            </w:pPr>
            <w:r>
              <w:rPr>
                <w:b/>
                <w:bCs/>
              </w:rPr>
              <w:t>OVERSEAS_LEADER 海外事业部领导</w:t>
            </w:r>
          </w:p>
        </w:tc>
        <w:tc>
          <w:p w14:paraId="3997D704">
            <w:pPr>
              <w:pStyle w:val="22"/>
              <w:jc w:val="left"/>
            </w:pPr>
            <w:r>
              <w:t>审批专属:大额询价审批、项目终审、供应商准入推荐</w:t>
            </w:r>
          </w:p>
        </w:tc>
      </w:tr>
    </w:tbl>
    <w:p w14:paraId="2AA359E7">
      <w:r>
        <w:t>供应商组织内 MVP 阶段不细分子角色(一企业一账号即可),后续按需扩展。</w:t>
      </w:r>
    </w:p>
    <w:bookmarkEnd w:id="8"/>
    <w:p w14:paraId="3E17E329">
      <w:pPr>
        <w:pStyle w:val="4"/>
      </w:pPr>
      <w:bookmarkStart w:id="9" w:name="用户怎么挂角色挂多个取并集"/>
      <w:r>
        <w:t>3.2 用户怎么挂角色:挂多个,取并集</w:t>
      </w:r>
    </w:p>
    <w:p w14:paraId="082F2387">
      <w:pPr>
        <w:pStyle w:val="23"/>
      </w:pPr>
      <w:r>
        <w:t>每个用户挂 1 个或多个角色,</w:t>
      </w:r>
      <w:r>
        <w:rPr>
          <w:b/>
          <w:bCs/>
        </w:rPr>
        <w:t>最终能做什么 = 所有角色的权限并集</w:t>
      </w:r>
      <w:r>
        <w:t>:</w:t>
      </w:r>
    </w:p>
    <w:tbl>
      <w:tblPr>
        <w:tblStyle w:val="24"/>
        <w:tblW w:w="5000" w:type="pct"/>
        <w:tblInd w:w="0" w:type="dxa"/>
        <w:tblBorders>
          <w:top w:val="single" w:color="CBD5E0" w:sz="4" w:space="0"/>
          <w:left w:val="single" w:color="CBD5E0" w:sz="4" w:space="0"/>
          <w:bottom w:val="single" w:color="CBD5E0" w:sz="4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41"/>
        <w:gridCol w:w="4787"/>
        <w:gridCol w:w="2638"/>
      </w:tblGrid>
      <w:tr w14:paraId="277EC210">
        <w:trPr>
          <w:tblHeader/>
        </w:trPr>
        <w:tc>
          <w:p w14:paraId="585EC0DB">
            <w:pPr>
              <w:pStyle w:val="22"/>
              <w:jc w:val="left"/>
            </w:pPr>
            <w:r>
              <w:t>用户类型</w:t>
            </w:r>
          </w:p>
        </w:tc>
        <w:tc>
          <w:p w14:paraId="390A879E">
            <w:pPr>
              <w:pStyle w:val="22"/>
              <w:jc w:val="left"/>
            </w:pPr>
            <w:r>
              <w:t>挂的角色</w:t>
            </w:r>
          </w:p>
        </w:tc>
        <w:tc>
          <w:p w14:paraId="38506C6C">
            <w:pPr>
              <w:pStyle w:val="22"/>
              <w:jc w:val="left"/>
            </w:pPr>
            <w:r>
              <w:t>能做什么</w:t>
            </w:r>
          </w:p>
        </w:tc>
      </w:tr>
      <w:tr w14:paraId="63551091">
        <w:tc>
          <w:p w14:paraId="5F102177">
            <w:pPr>
              <w:pStyle w:val="22"/>
              <w:jc w:val="left"/>
            </w:pPr>
            <w:r>
              <w:t>普通采购员</w:t>
            </w:r>
          </w:p>
        </w:tc>
        <w:tc>
          <w:p w14:paraId="0A9E745B">
            <w:pPr>
              <w:pStyle w:val="22"/>
              <w:jc w:val="left"/>
            </w:pPr>
            <w:r>
              <w:t>BUYER + PURCHASER</w:t>
            </w:r>
          </w:p>
        </w:tc>
        <w:tc>
          <w:p w14:paraId="09CD1A05">
            <w:pPr>
              <w:pStyle w:val="22"/>
              <w:jc w:val="left"/>
            </w:pPr>
            <w:r>
              <w:t>看公开池 + 日常采购</w:t>
            </w:r>
          </w:p>
        </w:tc>
      </w:tr>
      <w:tr w14:paraId="413063D0">
        <w:tc>
          <w:p w14:paraId="35876C7F">
            <w:pPr>
              <w:pStyle w:val="22"/>
              <w:jc w:val="left"/>
            </w:pPr>
            <w:r>
              <w:t>兼日常操作的领导</w:t>
            </w:r>
          </w:p>
        </w:tc>
        <w:tc>
          <w:p w14:paraId="7FB95EC3">
            <w:pPr>
              <w:pStyle w:val="22"/>
              <w:jc w:val="left"/>
            </w:pPr>
            <w:r>
              <w:t>BUYER + PURCHASER + OVERSEAS_LEADER</w:t>
            </w:r>
          </w:p>
        </w:tc>
        <w:tc>
          <w:p w14:paraId="4E2D1F8F">
            <w:pPr>
              <w:pStyle w:val="22"/>
              <w:jc w:val="left"/>
            </w:pPr>
            <w:r>
              <w:t>全部 + 审批权</w:t>
            </w:r>
          </w:p>
        </w:tc>
      </w:tr>
      <w:tr w14:paraId="04D8C244">
        <w:tc>
          <w:p w14:paraId="3E228983">
            <w:pPr>
              <w:pStyle w:val="22"/>
              <w:jc w:val="left"/>
            </w:pPr>
            <w:r>
              <w:t>只审批的领导</w:t>
            </w:r>
          </w:p>
        </w:tc>
        <w:tc>
          <w:p w14:paraId="163EDA8A">
            <w:pPr>
              <w:pStyle w:val="22"/>
              <w:jc w:val="left"/>
            </w:pPr>
            <w:r>
              <w:t>BUYER + OVERSEAS_LEADER</w:t>
            </w:r>
          </w:p>
        </w:tc>
        <w:tc>
          <w:p w14:paraId="0C2802A3">
            <w:pPr>
              <w:pStyle w:val="22"/>
              <w:jc w:val="left"/>
            </w:pPr>
            <w:r>
              <w:t>看公开池 + 审批(不做日常)</w:t>
            </w:r>
          </w:p>
        </w:tc>
      </w:tr>
      <w:tr w14:paraId="14FE229F">
        <w:tc>
          <w:p w14:paraId="1599A39A">
            <w:pPr>
              <w:pStyle w:val="22"/>
              <w:jc w:val="left"/>
            </w:pPr>
            <w:r>
              <w:t>供应商</w:t>
            </w:r>
          </w:p>
        </w:tc>
        <w:tc>
          <w:p w14:paraId="73EDFF54">
            <w:pPr>
              <w:pStyle w:val="22"/>
              <w:jc w:val="left"/>
            </w:pPr>
            <w:r>
              <w:t>SUPPLIER</w:t>
            </w:r>
          </w:p>
        </w:tc>
        <w:tc>
          <w:p w14:paraId="4B0D7754">
            <w:pPr>
              <w:pStyle w:val="22"/>
              <w:jc w:val="left"/>
            </w:pPr>
            <w:r>
              <w:t>供应商全部权限</w:t>
            </w:r>
          </w:p>
        </w:tc>
      </w:tr>
      <w:tr w14:paraId="6AF6135E">
        <w:tc>
          <w:p w14:paraId="040F9AC7">
            <w:pPr>
              <w:pStyle w:val="22"/>
              <w:jc w:val="left"/>
            </w:pPr>
            <w:r>
              <w:t>平台运营</w:t>
            </w:r>
          </w:p>
        </w:tc>
        <w:tc>
          <w:p w14:paraId="2BBEB737">
            <w:pPr>
              <w:pStyle w:val="22"/>
              <w:jc w:val="left"/>
            </w:pPr>
            <w:r>
              <w:t>OPERATOR</w:t>
            </w:r>
          </w:p>
        </w:tc>
        <w:tc>
          <w:p w14:paraId="0F3AF581">
            <w:pPr>
              <w:pStyle w:val="22"/>
              <w:jc w:val="left"/>
            </w:pPr>
            <w:r>
              <w:t>业务审核与监控</w:t>
            </w:r>
          </w:p>
        </w:tc>
      </w:tr>
      <w:tr w14:paraId="48697694">
        <w:tc>
          <w:p w14:paraId="02BD0DB3">
            <w:pPr>
              <w:pStyle w:val="22"/>
              <w:jc w:val="left"/>
            </w:pPr>
            <w:r>
              <w:t>系统管理员</w:t>
            </w:r>
          </w:p>
        </w:tc>
        <w:tc>
          <w:p w14:paraId="42DB6654">
            <w:pPr>
              <w:pStyle w:val="22"/>
              <w:jc w:val="left"/>
            </w:pPr>
            <w:r>
              <w:t>ADMIN</w:t>
            </w:r>
          </w:p>
        </w:tc>
        <w:tc>
          <w:p w14:paraId="38FEC936">
            <w:pPr>
              <w:pStyle w:val="22"/>
              <w:jc w:val="left"/>
            </w:pPr>
            <w:r>
              <w:t>系统配置(不触业务)</w:t>
            </w:r>
          </w:p>
        </w:tc>
      </w:tr>
      <w:bookmarkEnd w:id="9"/>
    </w:tbl>
    <w:p w14:paraId="4781D64E">
      <w:pPr>
        <w:pStyle w:val="4"/>
      </w:pPr>
      <w:bookmarkStart w:id="10" w:name="业务管理-vs-系统管理严格分离"/>
      <w:r>
        <w:t>3.3 业务管理 vs 系统管理严格分离</w:t>
      </w:r>
    </w:p>
    <w:p w14:paraId="0D3345E8">
      <w:pPr>
        <w:pStyle w:val="23"/>
      </w:pPr>
      <w:r>
        <w:t>OPERATOR 管业务(审核供应商/商品上架、监控风控,不能改系统、不能管用户),ADMIN 管系统(用户/角色/权限/系统配置,不能触业务数据)。</w:t>
      </w:r>
      <w:r>
        <w:rPr>
          <w:b/>
          <w:bCs/>
        </w:rPr>
        <w:t>为什么必须拆分</w:t>
      </w:r>
      <w:r>
        <w:t>:符合等保 2.0 三级”职责分离”合规要求;防止一个高权限账号同时改业务又改系统(合规审计重点风险);业界主流 B2B 平台(云筑商城、震坤行)的通用做法。</w:t>
      </w:r>
    </w:p>
    <w:p w14:paraId="6DC1205D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10"/>
    <w:p w14:paraId="048B1503">
      <w:pPr>
        <w:pStyle w:val="3"/>
      </w:pPr>
      <w:bookmarkStart w:id="11" w:name="权限校验机制"/>
      <w:r>
        <w:t>4. 权限校验机制</w:t>
      </w:r>
    </w:p>
    <w:p w14:paraId="4D25A2F5">
      <w:pPr>
        <w:pStyle w:val="4"/>
      </w:pPr>
      <w:bookmarkStart w:id="12" w:name="三级校验"/>
      <w:r>
        <w:t>4.1 三级校验</w:t>
      </w:r>
    </w:p>
    <w:p w14:paraId="48385430">
      <w:pPr>
        <w:pStyle w:val="20"/>
      </w:pPr>
      <w:r>
        <w:t>用户操作 → 后端 API 守卫(安全底线,必做)</w:t>
      </w:r>
      <w:r>
        <w:br w:type="textWrapping"/>
      </w:r>
      <w:r>
        <w:t xml:space="preserve">        → 前端路由守卫(无权页面直接跳转)</w:t>
      </w:r>
      <w:r>
        <w:br w:type="textWrapping"/>
      </w:r>
      <w:r>
        <w:t xml:space="preserve">        → 前端按钮显隐(无权操作按钮隐藏,UX 体验)</w:t>
      </w:r>
    </w:p>
    <w:p w14:paraId="3EE58D63">
      <w:pPr>
        <w:pStyle w:val="23"/>
      </w:pPr>
      <w:r>
        <w:rPr>
          <w:b/>
          <w:bCs/>
        </w:rPr>
        <w:t>核心安全原则</w:t>
      </w:r>
      <w:r>
        <w:t>:后端 API 永远独立校验,绝不信任前端;前端按钮隐藏只是 UX 优化,不是安全机制;加新角色/改权限只改配置数据,</w:t>
      </w:r>
      <w:r>
        <w:rPr>
          <w:b/>
          <w:bCs/>
        </w:rPr>
        <w:t>业务代码零改动</w:t>
      </w:r>
      <w:r>
        <w:t>。</w:t>
      </w:r>
    </w:p>
    <w:bookmarkEnd w:id="12"/>
    <w:p w14:paraId="5C75416A">
      <w:pPr>
        <w:pStyle w:val="4"/>
      </w:pPr>
      <w:bookmarkStart w:id="13" w:name="数据权限归属字段过滤"/>
      <w:r>
        <w:t>4.2 数据权限:归属字段过滤</w:t>
      </w:r>
    </w:p>
    <w:p w14:paraId="312905FC">
      <w:pPr>
        <w:pStyle w:val="23"/>
      </w:pPr>
      <w:r>
        <w:t>权限点回答”能不能做”,数据权限回答”能对哪些数据做”。</w:t>
      </w:r>
    </w:p>
    <w:p w14:paraId="21DE9557">
      <w:pPr>
        <w:pStyle w:val="23"/>
      </w:pPr>
      <w:r>
        <w:rPr>
          <w:b/>
          <w:bCs/>
        </w:rPr>
        <w:t>公开池</w:t>
      </w:r>
      <w:r>
        <w:t>(已上架商品、已审核供应商、国别准入):所有登录用户可读;</w:t>
      </w:r>
    </w:p>
    <w:p w14:paraId="47D8873D">
      <w:pPr>
        <w:pStyle w:val="23"/>
      </w:pPr>
      <w:r>
        <w:rPr>
          <w:b/>
          <w:bCs/>
        </w:rPr>
        <w:t>私有池</w:t>
      </w:r>
      <w:r>
        <w:t>(项目、询价、订单等):按归属字段过滤——采购方只看本组织的,供应商只看自家的。简单粗暴的 WHERE 过滤,不上策略引擎。</w:t>
      </w:r>
    </w:p>
    <w:p w14:paraId="09E9E1FE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3"/>
    <w:p w14:paraId="1AC8B1D1">
      <w:pPr>
        <w:pStyle w:val="3"/>
      </w:pPr>
      <w:bookmarkStart w:id="14" w:name="关键设计决策汇总"/>
      <w:r>
        <w:t>5. 关键设计决策汇总</w:t>
      </w:r>
    </w:p>
    <w:tbl>
      <w:tblPr>
        <w:tblStyle w:val="24"/>
        <w:tblW w:w="0" w:type="auto"/>
        <w:tblInd w:w="0" w:type="dxa"/>
        <w:tblBorders>
          <w:top w:val="single" w:color="CBD5E0" w:sz="4" w:space="0"/>
          <w:left w:val="single" w:color="CBD5E0" w:sz="4" w:space="0"/>
          <w:bottom w:val="single" w:color="CBD5E0" w:sz="4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40"/>
        <w:gridCol w:w="3119"/>
        <w:gridCol w:w="3446"/>
      </w:tblGrid>
      <w:tr w14:paraId="069258AA">
        <w:trPr>
          <w:tblHeader/>
        </w:trPr>
        <w:tc>
          <w:p w14:paraId="23599770">
            <w:pPr>
              <w:pStyle w:val="22"/>
              <w:jc w:val="left"/>
            </w:pPr>
            <w:r>
              <w:t>决策点</w:t>
            </w:r>
          </w:p>
        </w:tc>
        <w:tc>
          <w:p w14:paraId="45D14A99">
            <w:pPr>
              <w:pStyle w:val="22"/>
              <w:jc w:val="left"/>
            </w:pPr>
            <w:r>
              <w:t>我们的选择</w:t>
            </w:r>
          </w:p>
        </w:tc>
        <w:tc>
          <w:p w14:paraId="36718FDC">
            <w:pPr>
              <w:pStyle w:val="22"/>
              <w:jc w:val="left"/>
            </w:pPr>
            <w:r>
              <w:t>理由</w:t>
            </w:r>
          </w:p>
        </w:tc>
      </w:tr>
      <w:tr w14:paraId="15FDEFF1">
        <w:tc>
          <w:p w14:paraId="0DF3B46C">
            <w:pPr>
              <w:pStyle w:val="22"/>
              <w:jc w:val="left"/>
            </w:pPr>
            <w:r>
              <w:t>RBAC 复杂度档次</w:t>
            </w:r>
          </w:p>
        </w:tc>
        <w:tc>
          <w:p w14:paraId="0924718C">
            <w:pPr>
              <w:pStyle w:val="22"/>
              <w:jc w:val="left"/>
            </w:pPr>
            <w:r>
              <w:t>标准 RBAC0</w:t>
            </w:r>
          </w:p>
        </w:tc>
        <w:tc>
          <w:p w14:paraId="59D044C5">
            <w:pPr>
              <w:pStyle w:val="22"/>
              <w:jc w:val="left"/>
            </w:pPr>
            <w:r>
              <w:t>MVP 够用,避免过度工程</w:t>
            </w:r>
          </w:p>
        </w:tc>
      </w:tr>
      <w:tr w14:paraId="35DF7ED0">
        <w:tc>
          <w:p w14:paraId="27BE18C6">
            <w:pPr>
              <w:pStyle w:val="22"/>
              <w:jc w:val="left"/>
            </w:pPr>
            <w:r>
              <w:t>组织建模</w:t>
            </w:r>
          </w:p>
        </w:tc>
        <w:tc>
          <w:p w14:paraId="5A90952D">
            <w:pPr>
              <w:pStyle w:val="22"/>
              <w:jc w:val="left"/>
            </w:pPr>
            <w:r>
              <w:t>采购方/供应商独立表</w:t>
            </w:r>
          </w:p>
        </w:tc>
        <w:tc>
          <w:p w14:paraId="641CF134">
            <w:pPr>
              <w:pStyle w:val="22"/>
              <w:jc w:val="left"/>
            </w:pPr>
            <w:r>
              <w:t>业务属性差异巨大</w:t>
            </w:r>
          </w:p>
        </w:tc>
      </w:tr>
      <w:tr w14:paraId="01600880">
        <w:tc>
          <w:p w14:paraId="1E291350">
            <w:pPr>
              <w:pStyle w:val="22"/>
              <w:jc w:val="left"/>
            </w:pPr>
            <w:r>
              <w:t>角色拆分</w:t>
            </w:r>
          </w:p>
        </w:tc>
        <w:tc>
          <w:p w14:paraId="78F048EF">
            <w:pPr>
              <w:pStyle w:val="22"/>
              <w:jc w:val="left"/>
            </w:pPr>
            <w:r>
              <w:t>业务管理 vs 系统管理严格分离</w:t>
            </w:r>
          </w:p>
        </w:tc>
        <w:tc>
          <w:p w14:paraId="0A8FCA13">
            <w:pPr>
              <w:pStyle w:val="22"/>
              <w:jc w:val="left"/>
            </w:pPr>
            <w:r>
              <w:t>等保 2.0 合规要求</w:t>
            </w:r>
          </w:p>
        </w:tc>
      </w:tr>
      <w:tr w14:paraId="7E077FC8">
        <w:tc>
          <w:p w14:paraId="0DF1BC00">
            <w:pPr>
              <w:pStyle w:val="22"/>
              <w:jc w:val="left"/>
            </w:pPr>
            <w:r>
              <w:t>角色继承</w:t>
            </w:r>
          </w:p>
        </w:tc>
        <w:tc>
          <w:p w14:paraId="4907D3F3">
            <w:pPr>
              <w:pStyle w:val="22"/>
              <w:jc w:val="left"/>
            </w:pPr>
            <w:r>
              <w:t>❌ 不做</w:t>
            </w:r>
          </w:p>
        </w:tc>
        <w:tc>
          <w:p w14:paraId="6E4358B9">
            <w:pPr>
              <w:pStyle w:val="22"/>
              <w:jc w:val="left"/>
            </w:pPr>
            <w:r>
              <w:t>改用”挂多个角色取并集”,更清晰</w:t>
            </w:r>
          </w:p>
        </w:tc>
      </w:tr>
      <w:tr w14:paraId="09FD1BCF">
        <w:tc>
          <w:p w14:paraId="033CEF41">
            <w:pPr>
              <w:pStyle w:val="22"/>
              <w:jc w:val="left"/>
            </w:pPr>
            <w:r>
              <w:t>权限校验</w:t>
            </w:r>
          </w:p>
        </w:tc>
        <w:tc>
          <w:p w14:paraId="464C60E5">
            <w:pPr>
              <w:pStyle w:val="22"/>
              <w:jc w:val="left"/>
            </w:pPr>
            <w:r>
              <w:t>前端三级 + 后端独立校验</w:t>
            </w:r>
          </w:p>
        </w:tc>
        <w:tc>
          <w:p w14:paraId="4875CE37">
            <w:pPr>
              <w:pStyle w:val="22"/>
              <w:jc w:val="left"/>
            </w:pPr>
            <w:r>
              <w:t>业界标准实践</w:t>
            </w:r>
          </w:p>
        </w:tc>
      </w:tr>
      <w:tr w14:paraId="249768A0">
        <w:tc>
          <w:p w14:paraId="7F28B09C">
            <w:pPr>
              <w:pStyle w:val="22"/>
              <w:jc w:val="left"/>
            </w:pPr>
            <w:r>
              <w:t>数据隔离</w:t>
            </w:r>
          </w:p>
        </w:tc>
        <w:tc>
          <w:p w14:paraId="2F345C9B">
            <w:pPr>
              <w:pStyle w:val="22"/>
              <w:jc w:val="left"/>
            </w:pPr>
            <w:r>
              <w:t>归属字段硬过滤</w:t>
            </w:r>
          </w:p>
        </w:tc>
        <w:tc>
          <w:p w14:paraId="71BEBA8A">
            <w:pPr>
              <w:pStyle w:val="22"/>
              <w:jc w:val="left"/>
            </w:pPr>
            <w:r>
              <w:t>简单可靠,避免规则引擎</w:t>
            </w:r>
          </w:p>
        </w:tc>
      </w:tr>
      <w:tr w14:paraId="2C5154AA">
        <w:tc>
          <w:p w14:paraId="4FC05ACB">
            <w:pPr>
              <w:pStyle w:val="22"/>
              <w:jc w:val="left"/>
            </w:pPr>
            <w:r>
              <w:t>一企业多账号</w:t>
            </w:r>
          </w:p>
        </w:tc>
        <w:tc>
          <w:p w14:paraId="04CF673F">
            <w:pPr>
              <w:pStyle w:val="22"/>
              <w:jc w:val="left"/>
            </w:pPr>
            <w:r>
              <w:t>数据结构支持,MVP 不暴露 UI</w:t>
            </w:r>
          </w:p>
        </w:tc>
        <w:tc>
          <w:p w14:paraId="0FEE0942">
            <w:pPr>
              <w:pStyle w:val="22"/>
              <w:jc w:val="left"/>
            </w:pPr>
            <w:r>
              <w:t>零成本预留</w:t>
            </w:r>
          </w:p>
        </w:tc>
      </w:tr>
    </w:tbl>
    <w:p w14:paraId="4851595A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679267EE">
      <w:pPr>
        <w:pStyle w:val="3"/>
        <w:rPr>
          <w:rFonts w:hint="eastAsia" w:eastAsia="微软雅黑"/>
          <w:lang w:val="en-US" w:eastAsia="zh-CN"/>
        </w:rPr>
      </w:pPr>
      <w:bookmarkStart w:id="15" w:name="待组内确认事项"/>
      <w:r>
        <w:t xml:space="preserve">6. </w:t>
      </w:r>
      <w:r>
        <w:rPr>
          <w:rFonts w:hint="eastAsia"/>
          <w:lang w:val="en-US" w:eastAsia="zh-CN"/>
        </w:rPr>
        <w:t>待确认</w:t>
      </w:r>
    </w:p>
    <w:p w14:paraId="04F81CBC">
      <w:pPr>
        <w:pStyle w:val="23"/>
      </w:pPr>
      <w:r>
        <w:t>以下决策点尚未完全闭环,会在组内同步会议中拍板:</w:t>
      </w:r>
    </w:p>
    <w:tbl>
      <w:tblPr>
        <w:tblStyle w:val="24"/>
        <w:tblW w:w="0" w:type="auto"/>
        <w:tblInd w:w="0" w:type="dxa"/>
        <w:tblBorders>
          <w:top w:val="single" w:color="CBD5E0" w:sz="4" w:space="0"/>
          <w:left w:val="single" w:color="CBD5E0" w:sz="4" w:space="0"/>
          <w:bottom w:val="single" w:color="CBD5E0" w:sz="4" w:space="0"/>
          <w:right w:val="single" w:color="CBD5E0" w:sz="4" w:space="0"/>
          <w:insideH w:val="single" w:color="CBD5E0" w:sz="4" w:space="0"/>
          <w:insideV w:val="single" w:color="CBD5E0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13"/>
        <w:gridCol w:w="3388"/>
      </w:tblGrid>
      <w:tr w14:paraId="52602B2A">
        <w:trPr>
          <w:tblHeader/>
        </w:trPr>
        <w:tc>
          <w:tcPr>
            <w:tcW w:w="2913" w:type="dxa"/>
          </w:tcPr>
          <w:p w14:paraId="6495809C">
            <w:pPr>
              <w:pStyle w:val="22"/>
              <w:jc w:val="left"/>
            </w:pPr>
            <w:r>
              <w:t>议题</w:t>
            </w:r>
          </w:p>
        </w:tc>
        <w:tc>
          <w:tcPr>
            <w:tcW w:w="3388" w:type="dxa"/>
          </w:tcPr>
          <w:p w14:paraId="12414913">
            <w:pPr>
              <w:pStyle w:val="22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</w:tr>
      <w:tr w14:paraId="5E7EBCBC">
        <w:tc>
          <w:tcPr>
            <w:tcW w:w="2913" w:type="dxa"/>
          </w:tcPr>
          <w:p w14:paraId="17EB14A7">
            <w:pPr>
              <w:pStyle w:val="22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权限点梳理</w:t>
            </w:r>
          </w:p>
        </w:tc>
        <w:tc>
          <w:tcPr>
            <w:tcW w:w="3388" w:type="dxa"/>
          </w:tcPr>
          <w:p w14:paraId="472E0F75">
            <w:pPr>
              <w:pStyle w:val="22"/>
              <w:jc w:val="left"/>
            </w:pPr>
          </w:p>
        </w:tc>
      </w:tr>
      <w:tr w14:paraId="39A26DB3">
        <w:tc>
          <w:tcPr>
            <w:tcW w:w="2913" w:type="dxa"/>
          </w:tcPr>
          <w:p w14:paraId="1FE72AFE">
            <w:pPr>
              <w:pStyle w:val="22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MVP要不要引入“</w:t>
            </w:r>
            <w:r>
              <w:rPr>
                <w:b/>
                <w:bCs/>
              </w:rPr>
              <w:t>采购方组织内职级角色</w:t>
            </w:r>
            <w:r>
              <w:rPr>
                <w:rFonts w:hint="eastAsia"/>
                <w:b/>
                <w:bCs/>
                <w:lang w:eastAsia="zh-CN"/>
              </w:rPr>
              <w:t>”</w:t>
            </w:r>
          </w:p>
        </w:tc>
        <w:tc>
          <w:tcPr>
            <w:tcW w:w="3388" w:type="dxa"/>
          </w:tcPr>
          <w:p w14:paraId="32B14B57">
            <w:pPr>
              <w:pStyle w:val="22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建议不引入，全平台使用同一个账号，包括RFQ审批相关</w:t>
            </w:r>
            <w:bookmarkStart w:id="17" w:name="_GoBack"/>
            <w:bookmarkEnd w:id="17"/>
          </w:p>
        </w:tc>
      </w:tr>
      <w:tr w14:paraId="24900B48">
        <w:tc>
          <w:tcPr>
            <w:tcW w:w="2913" w:type="dxa"/>
          </w:tcPr>
          <w:p w14:paraId="6E4A342F">
            <w:pPr>
              <w:pStyle w:val="22"/>
              <w:jc w:val="left"/>
            </w:pPr>
            <w:r>
              <w:t>角色-权限关系</w:t>
            </w:r>
            <w:r>
              <w:rPr>
                <w:rFonts w:hint="eastAsia"/>
                <w:lang w:val="en-US" w:eastAsia="zh-CN"/>
              </w:rPr>
              <w:t>定义</w:t>
            </w:r>
          </w:p>
        </w:tc>
        <w:tc>
          <w:tcPr>
            <w:tcW w:w="3388" w:type="dxa"/>
          </w:tcPr>
          <w:p w14:paraId="38603CC6">
            <w:pPr>
              <w:pStyle w:val="22"/>
              <w:jc w:val="left"/>
            </w:pPr>
            <w:r>
              <w:t>配置文件 + 启动同步</w:t>
            </w:r>
          </w:p>
        </w:tc>
      </w:tr>
      <w:tr w14:paraId="0D7A1C0D">
        <w:tc>
          <w:tcPr>
            <w:tcW w:w="2913" w:type="dxa"/>
          </w:tcPr>
          <w:p w14:paraId="1F29E9CA">
            <w:pPr>
              <w:pStyle w:val="22"/>
              <w:jc w:val="left"/>
            </w:pPr>
            <w:r>
              <w:t>ADMIN 是否能访问业务数据</w:t>
            </w:r>
          </w:p>
        </w:tc>
        <w:tc>
          <w:tcPr>
            <w:tcW w:w="3388" w:type="dxa"/>
          </w:tcPr>
          <w:p w14:paraId="2AF83536">
            <w:pPr>
              <w:pStyle w:val="22"/>
              <w:jc w:val="left"/>
            </w:pPr>
            <w:r>
              <w:t>严格分离,合规优先</w:t>
            </w:r>
          </w:p>
        </w:tc>
      </w:tr>
      <w:tr w14:paraId="2487E1E0">
        <w:tc>
          <w:tcPr>
            <w:tcW w:w="2913" w:type="dxa"/>
          </w:tcPr>
          <w:p w14:paraId="2B9807B6">
            <w:pPr>
              <w:pStyle w:val="22"/>
              <w:jc w:val="left"/>
            </w:pPr>
            <w:r>
              <w:t>采购方账号注册流程</w:t>
            </w:r>
          </w:p>
        </w:tc>
        <w:tc>
          <w:tcPr>
            <w:tcW w:w="3388" w:type="dxa"/>
          </w:tcPr>
          <w:p w14:paraId="0270FE46">
            <w:pPr>
              <w:pStyle w:val="22"/>
              <w:jc w:val="left"/>
              <w:rPr>
                <w:rFonts w:hint="eastAsia" w:eastAsia="微软雅黑"/>
                <w:lang w:val="en-US" w:eastAsia="zh-CN"/>
              </w:rPr>
            </w:pPr>
          </w:p>
        </w:tc>
      </w:tr>
    </w:tbl>
    <w:p w14:paraId="07FD38DA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63B2CD67">
      <w:pPr>
        <w:pStyle w:val="3"/>
      </w:pPr>
      <w:bookmarkStart w:id="16" w:name="后续工作路线图"/>
      <w:r>
        <w:t>7. 后续工作路线图</w:t>
      </w:r>
    </w:p>
    <w:p w14:paraId="73D3CCDB">
      <w:pPr>
        <w:pStyle w:val="23"/>
      </w:pPr>
      <w:r>
        <w:t>按顺序推进,只列动作不绑死时间:</w:t>
      </w:r>
    </w:p>
    <w:p w14:paraId="23D9BD17">
      <w:pPr>
        <w:pStyle w:val="22"/>
        <w:numPr>
          <w:ilvl w:val="0"/>
          <w:numId w:val="1"/>
        </w:numPr>
      </w:pPr>
      <w:r>
        <w:t>上述待定事项组内会议讨论闭环</w:t>
      </w:r>
    </w:p>
    <w:p w14:paraId="0214706D">
      <w:pPr>
        <w:pStyle w:val="22"/>
        <w:numPr>
          <w:ilvl w:val="0"/>
          <w:numId w:val="1"/>
        </w:numPr>
      </w:pPr>
      <w:r>
        <w:t>完整权限点清单输出(预计 30~50 个)</w:t>
      </w:r>
    </w:p>
    <w:p w14:paraId="4CAD3ED6">
      <w:pPr>
        <w:pStyle w:val="22"/>
        <w:numPr>
          <w:ilvl w:val="0"/>
          <w:numId w:val="1"/>
        </w:numPr>
      </w:pPr>
      <w:r>
        <w:t>数据库 schema 详细设计</w:t>
      </w:r>
    </w:p>
    <w:p w14:paraId="1FAEEA32">
      <w:pPr>
        <w:pStyle w:val="22"/>
        <w:numPr>
          <w:ilvl w:val="0"/>
          <w:numId w:val="1"/>
        </w:numPr>
      </w:pPr>
      <w:r>
        <w:t>前后端权限组件基础设施</w:t>
      </w:r>
    </w:p>
    <w:p w14:paraId="753F3573">
      <w:pPr>
        <w:pStyle w:val="22"/>
        <w:numPr>
          <w:ilvl w:val="0"/>
          <w:numId w:val="1"/>
        </w:numPr>
      </w:pPr>
      <w:r>
        <w:t>第一个功能页面落地(用户注册),作为 RBAC 端到端验证</w:t>
      </w:r>
    </w:p>
    <w:p w14:paraId="1ECD39E4">
      <w:pPr>
        <w:pStyle w:val="22"/>
        <w:numPr>
          <w:ilvl w:val="0"/>
          <w:numId w:val="1"/>
        </w:numPr>
      </w:pPr>
      <w:r>
        <w:t>后续业务功能基于 RBAC 基础设施铺开</w:t>
      </w:r>
    </w:p>
    <w:bookmarkEnd w:id="0"/>
    <w:bookmarkEnd w:id="16"/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C97869">
    <w:pPr>
      <w:jc w:val="center"/>
    </w:pPr>
    <w:r>
      <w:rPr>
        <w:color w:val="718096"/>
        <w:sz w:val="18"/>
        <w:szCs w:val="18"/>
      </w:rPr>
      <w:t xml:space="preserve">- </w:t>
    </w:r>
    <w:r>
      <w:rPr>
        <w:color w:val="718096"/>
        <w:sz w:val="18"/>
        <w:szCs w:val="18"/>
      </w:rPr>
      <w:fldChar w:fldCharType="begin"/>
    </w:r>
    <w:r>
      <w:rPr>
        <w:color w:val="718096"/>
        <w:sz w:val="18"/>
        <w:szCs w:val="18"/>
      </w:rPr>
      <w:instrText xml:space="preserve">PAGE</w:instrText>
    </w:r>
    <w:r>
      <w:rPr>
        <w:color w:val="718096"/>
        <w:sz w:val="18"/>
        <w:szCs w:val="18"/>
      </w:rPr>
      <w:fldChar w:fldCharType="separate"/>
    </w:r>
    <w:r>
      <w:rPr>
        <w:color w:val="718096"/>
        <w:sz w:val="18"/>
        <w:szCs w:val="18"/>
      </w:rPr>
      <w:fldChar w:fldCharType="end"/>
    </w:r>
    <w:r>
      <w:rPr>
        <w:color w:val="71809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B5FC8A">
    <w:pPr>
      <w:pBdr>
        <w:bottom w:val="single" w:color="CBD5E0" w:sz="4" w:space="4"/>
      </w:pBdr>
      <w:tabs>
        <w:tab w:val="right" w:pos="9026"/>
      </w:tabs>
    </w:pPr>
    <w:r>
      <w:rPr>
        <w:rFonts w:ascii="微软雅黑" w:hAnsi="微软雅黑" w:eastAsia="微软雅黑" w:cs="微软雅黑"/>
        <w:color w:val="718096"/>
        <w:sz w:val="18"/>
        <w:szCs w:val="18"/>
      </w:rPr>
      <w:t>央企海外工程供应链平台</w:t>
    </w:r>
    <w:r>
      <w:rPr>
        <w:rFonts w:ascii="微软雅黑" w:hAnsi="微软雅黑" w:eastAsia="微软雅黑" w:cs="微软雅黑"/>
        <w:color w:val="718096"/>
        <w:sz w:val="18"/>
        <w:szCs w:val="18"/>
      </w:rPr>
      <w:tab/>
      <w:t>RBAC 设计同步说明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0E7735BD"/>
    <w:rsid w:val="50FA5100"/>
    <w:rsid w:val="7579C293"/>
    <w:rsid w:val="75FF6FDC"/>
    <w:rsid w:val="EBD7553C"/>
    <w:rsid w:val="EEFFF8F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before="0" w:after="120" w:line="360" w:lineRule="auto"/>
    </w:pPr>
    <w:rPr>
      <w:rFonts w:ascii="微软雅黑" w:hAnsi="微软雅黑" w:eastAsia="微软雅黑" w:cs="微软雅黑"/>
      <w:color w:val="2D3748"/>
      <w:sz w:val="21"/>
      <w:szCs w:val="21"/>
    </w:rPr>
  </w:style>
  <w:style w:type="paragraph" w:styleId="2">
    <w:name w:val="heading 1"/>
    <w:next w:val="1"/>
    <w:qFormat/>
    <w:uiPriority w:val="0"/>
    <w:pPr>
      <w:pBdr>
        <w:bottom w:val="single" w:color="1F3A5F" w:sz="8" w:space="4"/>
      </w:pBdr>
      <w:spacing w:before="480" w:after="240" w:line="360" w:lineRule="auto"/>
      <w:outlineLvl w:val="0"/>
    </w:pPr>
    <w:rPr>
      <w:rFonts w:ascii="微软雅黑" w:hAnsi="微软雅黑" w:eastAsia="微软雅黑" w:cs="微软雅黑"/>
      <w:b/>
      <w:bCs/>
      <w:color w:val="1F3A5F"/>
      <w:sz w:val="36"/>
      <w:szCs w:val="36"/>
    </w:rPr>
  </w:style>
  <w:style w:type="paragraph" w:styleId="3">
    <w:name w:val="heading 2"/>
    <w:next w:val="1"/>
    <w:qFormat/>
    <w:uiPriority w:val="0"/>
    <w:pPr>
      <w:spacing w:before="360" w:after="180" w:line="360" w:lineRule="auto"/>
      <w:outlineLvl w:val="1"/>
    </w:pPr>
    <w:rPr>
      <w:rFonts w:ascii="微软雅黑" w:hAnsi="微软雅黑" w:eastAsia="微软雅黑" w:cs="微软雅黑"/>
      <w:b/>
      <w:bCs/>
      <w:color w:val="2C5282"/>
      <w:sz w:val="28"/>
      <w:szCs w:val="28"/>
    </w:rPr>
  </w:style>
  <w:style w:type="paragraph" w:styleId="4">
    <w:name w:val="heading 3"/>
    <w:next w:val="1"/>
    <w:qFormat/>
    <w:uiPriority w:val="0"/>
    <w:pPr>
      <w:spacing w:before="240" w:after="120" w:line="360" w:lineRule="auto"/>
      <w:outlineLvl w:val="2"/>
    </w:pPr>
    <w:rPr>
      <w:rFonts w:ascii="微软雅黑" w:hAnsi="微软雅黑" w:eastAsia="微软雅黑" w:cs="微软雅黑"/>
      <w:b/>
      <w:bCs/>
      <w:color w:val="4A5568"/>
      <w:sz w:val="24"/>
      <w:szCs w:val="24"/>
    </w:rPr>
  </w:style>
  <w:style w:type="paragraph" w:styleId="5">
    <w:name w:val="heading 4"/>
    <w:next w:val="1"/>
    <w:qFormat/>
    <w:uiPriority w:val="0"/>
    <w:pPr>
      <w:spacing w:before="200" w:after="100" w:line="360" w:lineRule="auto"/>
      <w:outlineLvl w:val="3"/>
    </w:pPr>
    <w:rPr>
      <w:rFonts w:ascii="微软雅黑" w:hAnsi="微软雅黑" w:eastAsia="微软雅黑" w:cs="微软雅黑"/>
      <w:b/>
      <w:bCs/>
      <w:color w:val="4A5568"/>
      <w:sz w:val="22"/>
      <w:szCs w:val="22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basedOn w:val="1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next w:val="1"/>
    <w:qFormat/>
    <w:uiPriority w:val="0"/>
    <w:pPr>
      <w:pBdr>
        <w:bottom w:val="single" w:color="1F3A5F" w:sz="12" w:space="6"/>
      </w:pBdr>
      <w:spacing w:before="0" w:after="480" w:line="360" w:lineRule="auto"/>
      <w:jc w:val="left"/>
    </w:pPr>
    <w:rPr>
      <w:rFonts w:ascii="微软雅黑" w:hAnsi="微软雅黑" w:eastAsia="微软雅黑" w:cs="微软雅黑"/>
      <w:b/>
      <w:bCs/>
      <w:color w:val="1F3A5F"/>
      <w:sz w:val="48"/>
      <w:szCs w:val="48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  <w:style w:type="paragraph" w:customStyle="1" w:styleId="19">
    <w:name w:val="Block Quote"/>
    <w:basedOn w:val="1"/>
    <w:next w:val="1"/>
    <w:uiPriority w:val="0"/>
    <w:pPr>
      <w:pBdr>
        <w:left w:val="single" w:color="4299E1" w:sz="24" w:space="12"/>
      </w:pBdr>
      <w:shd w:val="clear" w:color="auto" w:fill="F7FAFC"/>
      <w:spacing w:before="120" w:after="120" w:line="360" w:lineRule="auto"/>
      <w:ind w:left="360"/>
    </w:pPr>
    <w:rPr>
      <w:rFonts w:ascii="微软雅黑" w:hAnsi="微软雅黑" w:eastAsia="微软雅黑" w:cs="微软雅黑"/>
      <w:color w:val="2D3748"/>
      <w:sz w:val="21"/>
      <w:szCs w:val="21"/>
    </w:rPr>
  </w:style>
  <w:style w:type="paragraph" w:customStyle="1" w:styleId="20">
    <w:name w:val="Source Code"/>
    <w:basedOn w:val="1"/>
    <w:next w:val="1"/>
    <w:uiPriority w:val="0"/>
    <w:pPr>
      <w:pBdr>
        <w:top w:val="single" w:color="CBD5E0" w:sz="4" w:space="4"/>
        <w:left w:val="single" w:color="CBD5E0" w:sz="4" w:space="4"/>
        <w:bottom w:val="single" w:color="CBD5E0" w:sz="4" w:space="4"/>
        <w:right w:val="single" w:color="CBD5E0" w:sz="4" w:space="4"/>
      </w:pBdr>
      <w:shd w:val="clear" w:color="auto" w:fill="F7FAFC"/>
      <w:spacing w:before="0" w:after="0" w:line="280" w:lineRule="auto"/>
    </w:pPr>
    <w:rPr>
      <w:rFonts w:ascii="Consolas" w:hAnsi="Consolas" w:eastAsia="Consolas" w:cs="Consolas"/>
      <w:color w:val="2D3748"/>
      <w:sz w:val="19"/>
      <w:szCs w:val="19"/>
    </w:rPr>
  </w:style>
  <w:style w:type="paragraph" w:customStyle="1" w:styleId="21">
    <w:name w:val="Verbatim Char"/>
    <w:basedOn w:val="1"/>
    <w:uiPriority w:val="0"/>
    <w:rPr>
      <w:rFonts w:ascii="Consolas" w:hAnsi="Consolas" w:eastAsia="Consolas" w:cs="Consolas"/>
      <w:color w:val="C53030"/>
      <w:sz w:val="19"/>
      <w:szCs w:val="19"/>
    </w:rPr>
  </w:style>
  <w:style w:type="paragraph" w:customStyle="1" w:styleId="22">
    <w:name w:val="Compact"/>
    <w:basedOn w:val="1"/>
    <w:uiPriority w:val="0"/>
    <w:pPr>
      <w:spacing w:before="0" w:after="60" w:line="320" w:lineRule="auto"/>
    </w:pPr>
    <w:rPr>
      <w:rFonts w:ascii="微软雅黑" w:hAnsi="微软雅黑" w:eastAsia="微软雅黑" w:cs="微软雅黑"/>
      <w:color w:val="2D3748"/>
      <w:sz w:val="21"/>
      <w:szCs w:val="21"/>
    </w:rPr>
  </w:style>
  <w:style w:type="paragraph" w:customStyle="1" w:styleId="23">
    <w:name w:val="First Paragraph"/>
    <w:basedOn w:val="1"/>
    <w:next w:val="1"/>
    <w:uiPriority w:val="0"/>
    <w:pPr>
      <w:spacing w:before="0" w:after="120" w:line="360" w:lineRule="auto"/>
    </w:pPr>
    <w:rPr>
      <w:rFonts w:ascii="微软雅黑" w:hAnsi="微软雅黑" w:eastAsia="微软雅黑" w:cs="微软雅黑"/>
      <w:color w:val="2D3748"/>
      <w:sz w:val="21"/>
      <w:szCs w:val="21"/>
    </w:rPr>
  </w:style>
  <w:style w:type="table" w:customStyle="1" w:styleId="24">
    <w:name w:val="Table"/>
    <w:uiPriority w:val="59"/>
    <w:pPr>
      <w:spacing w:before="60" w:after="60" w:line="320" w:lineRule="auto"/>
    </w:pPr>
    <w:rPr>
      <w:rFonts w:ascii="微软雅黑" w:hAnsi="微软雅黑" w:eastAsia="微软雅黑"/>
      <w:color w:val="2D3748"/>
      <w:sz w:val="20"/>
    </w:rPr>
    <w:tblPr>
      <w:tblBorders>
        <w:top w:val="single" w:color="CBD5E0" w:sz="4" w:space="0"/>
        <w:left w:val="single" w:color="CBD5E0" w:sz="4" w:space="0"/>
        <w:bottom w:val="single" w:color="CBD5E0" w:sz="4" w:space="0"/>
        <w:right w:val="single" w:color="CBD5E0" w:sz="4" w:space="0"/>
        <w:insideH w:val="single" w:color="CBD5E0" w:sz="4" w:space="0"/>
        <w:insideV w:val="single" w:color="CBD5E0" w:sz="4" w:space="0"/>
      </w:tblBorders>
      <w:tblCellMar>
        <w:top w:w="80" w:type="dxa"/>
        <w:left w:w="120" w:type="dxa"/>
        <w:bottom w:w="80" w:type="dxa"/>
        <w:right w:w="120" w:type="dxa"/>
      </w:tblCellMar>
    </w:tblPr>
    <w:tblStylePr w:type="firstRow">
      <w:rPr>
        <w:rFonts w:ascii="微软雅黑" w:hAnsi="微软雅黑" w:eastAsia="微软雅黑"/>
        <w:b/>
        <w:color w:val="1F3A5F"/>
      </w:rPr>
      <w:tcPr>
        <w:shd w:val="clear" w:color="auto" w:fill="EDF2F7"/>
      </w:tcPr>
    </w:tblStylePr>
  </w:style>
  <w:style w:type="character" w:customStyle="1" w:styleId="25">
    <w:name w:val="KeywordTok"/>
    <w:uiPriority w:val="0"/>
    <w:rPr>
      <w:b/>
      <w:color w:val="007020"/>
    </w:rPr>
  </w:style>
  <w:style w:type="character" w:customStyle="1" w:styleId="26">
    <w:name w:val="DataTypeTok"/>
    <w:uiPriority w:val="0"/>
    <w:rPr>
      <w:color w:val="902000"/>
    </w:rPr>
  </w:style>
  <w:style w:type="character" w:customStyle="1" w:styleId="27">
    <w:name w:val="DecValTok"/>
    <w:uiPriority w:val="0"/>
    <w:rPr>
      <w:color w:val="40A070"/>
    </w:rPr>
  </w:style>
  <w:style w:type="character" w:customStyle="1" w:styleId="28">
    <w:name w:val="BaseNTok"/>
    <w:uiPriority w:val="0"/>
    <w:rPr>
      <w:color w:val="40A070"/>
    </w:rPr>
  </w:style>
  <w:style w:type="character" w:customStyle="1" w:styleId="29">
    <w:name w:val="FloatTok"/>
    <w:uiPriority w:val="0"/>
    <w:rPr>
      <w:color w:val="40A070"/>
    </w:rPr>
  </w:style>
  <w:style w:type="character" w:customStyle="1" w:styleId="30">
    <w:name w:val="ConstantTok"/>
    <w:uiPriority w:val="0"/>
    <w:rPr>
      <w:color w:val="880000"/>
    </w:rPr>
  </w:style>
  <w:style w:type="character" w:customStyle="1" w:styleId="31">
    <w:name w:val="CharTok"/>
    <w:uiPriority w:val="0"/>
    <w:rPr>
      <w:color w:val="4070A0"/>
    </w:rPr>
  </w:style>
  <w:style w:type="character" w:customStyle="1" w:styleId="32">
    <w:name w:val="SpecialCharTok"/>
    <w:uiPriority w:val="0"/>
    <w:rPr>
      <w:color w:val="4070A0"/>
    </w:rPr>
  </w:style>
  <w:style w:type="character" w:customStyle="1" w:styleId="33">
    <w:name w:val="StringTok"/>
    <w:uiPriority w:val="0"/>
    <w:rPr>
      <w:color w:val="4070A0"/>
    </w:rPr>
  </w:style>
  <w:style w:type="character" w:customStyle="1" w:styleId="34">
    <w:name w:val="VerbatimStringTok"/>
    <w:uiPriority w:val="0"/>
    <w:rPr>
      <w:color w:val="4070A0"/>
    </w:rPr>
  </w:style>
  <w:style w:type="character" w:customStyle="1" w:styleId="35">
    <w:name w:val="SpecialStringTok"/>
    <w:uiPriority w:val="0"/>
    <w:rPr>
      <w:color w:val="BB6688"/>
    </w:rPr>
  </w:style>
  <w:style w:type="character" w:customStyle="1" w:styleId="36">
    <w:name w:val="ImportTok"/>
    <w:uiPriority w:val="0"/>
    <w:rPr>
      <w:b/>
      <w:color w:val="008000"/>
    </w:rPr>
  </w:style>
  <w:style w:type="character" w:customStyle="1" w:styleId="37">
    <w:name w:val="CommentTok"/>
    <w:uiPriority w:val="0"/>
    <w:rPr>
      <w:i/>
      <w:color w:val="60A0B0"/>
    </w:rPr>
  </w:style>
  <w:style w:type="character" w:customStyle="1" w:styleId="38">
    <w:name w:val="DocumentationTok"/>
    <w:uiPriority w:val="0"/>
    <w:rPr>
      <w:i/>
      <w:color w:val="BA2121"/>
    </w:rPr>
  </w:style>
  <w:style w:type="character" w:customStyle="1" w:styleId="39">
    <w:name w:val="AnnotationTok"/>
    <w:uiPriority w:val="0"/>
    <w:rPr>
      <w:b/>
      <w:i/>
      <w:color w:val="60A0B0"/>
    </w:rPr>
  </w:style>
  <w:style w:type="character" w:customStyle="1" w:styleId="40">
    <w:name w:val="CommentVarTok"/>
    <w:uiPriority w:val="0"/>
    <w:rPr>
      <w:b/>
      <w:i/>
      <w:color w:val="60A0B0"/>
    </w:rPr>
  </w:style>
  <w:style w:type="character" w:customStyle="1" w:styleId="41">
    <w:name w:val="OtherTok"/>
    <w:uiPriority w:val="0"/>
    <w:rPr>
      <w:color w:val="007020"/>
    </w:rPr>
  </w:style>
  <w:style w:type="character" w:customStyle="1" w:styleId="42">
    <w:name w:val="FunctionTok"/>
    <w:uiPriority w:val="0"/>
    <w:rPr>
      <w:color w:val="06287E"/>
    </w:rPr>
  </w:style>
  <w:style w:type="character" w:customStyle="1" w:styleId="43">
    <w:name w:val="VariableTok"/>
    <w:uiPriority w:val="0"/>
    <w:rPr>
      <w:color w:val="19177C"/>
    </w:rPr>
  </w:style>
  <w:style w:type="character" w:customStyle="1" w:styleId="44">
    <w:name w:val="ControlFlowTok"/>
    <w:uiPriority w:val="0"/>
    <w:rPr>
      <w:b/>
      <w:color w:val="007020"/>
    </w:rPr>
  </w:style>
  <w:style w:type="character" w:customStyle="1" w:styleId="45">
    <w:name w:val="OperatorTok"/>
    <w:uiPriority w:val="0"/>
    <w:rPr>
      <w:color w:val="666666"/>
    </w:rPr>
  </w:style>
  <w:style w:type="character" w:customStyle="1" w:styleId="46">
    <w:name w:val="BuiltInTok"/>
    <w:uiPriority w:val="0"/>
    <w:rPr>
      <w:color w:val="008000"/>
    </w:rPr>
  </w:style>
  <w:style w:type="character" w:customStyle="1" w:styleId="47">
    <w:name w:val="ExtensionTok"/>
    <w:uiPriority w:val="0"/>
  </w:style>
  <w:style w:type="character" w:customStyle="1" w:styleId="48">
    <w:name w:val="PreprocessorTok"/>
    <w:uiPriority w:val="0"/>
    <w:rPr>
      <w:color w:val="BC7A00"/>
    </w:rPr>
  </w:style>
  <w:style w:type="character" w:customStyle="1" w:styleId="49">
    <w:name w:val="AttributeTok"/>
    <w:uiPriority w:val="0"/>
    <w:rPr>
      <w:color w:val="7D9029"/>
    </w:rPr>
  </w:style>
  <w:style w:type="character" w:customStyle="1" w:styleId="50">
    <w:name w:val="RegionMarkerTok"/>
    <w:uiPriority w:val="0"/>
  </w:style>
  <w:style w:type="character" w:customStyle="1" w:styleId="51">
    <w:name w:val="InformationTok"/>
    <w:uiPriority w:val="0"/>
    <w:rPr>
      <w:b/>
      <w:i/>
      <w:color w:val="60A0B0"/>
    </w:rPr>
  </w:style>
  <w:style w:type="character" w:customStyle="1" w:styleId="52">
    <w:name w:val="WarningTok"/>
    <w:uiPriority w:val="0"/>
    <w:rPr>
      <w:b/>
      <w:i/>
      <w:color w:val="60A0B0"/>
    </w:rPr>
  </w:style>
  <w:style w:type="character" w:customStyle="1" w:styleId="53">
    <w:name w:val="AlertTok"/>
    <w:uiPriority w:val="0"/>
    <w:rPr>
      <w:b/>
      <w:color w:val="FF0000"/>
    </w:rPr>
  </w:style>
  <w:style w:type="character" w:customStyle="1" w:styleId="54">
    <w:name w:val="ErrorTok"/>
    <w:uiPriority w:val="0"/>
    <w:rPr>
      <w:b/>
      <w:color w:val="FF0000"/>
    </w:rPr>
  </w:style>
  <w:style w:type="character" w:customStyle="1" w:styleId="55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1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2026-05-19T11:51:00Z</dcterms:created>
  <dc:creator>呆呆贼</dc:creator>
  <cp:lastModifiedBy>呆呆贼</cp:lastModifiedBy>
  <dcterms:modified xsi:type="dcterms:W3CDTF">2026-05-19T12:08:38Z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D0DC7235F23E62E7FFE00B6AC6B448BF_42</vt:lpwstr>
  </property>
</Properties>
</file>