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Supplementary Table S4. Complete sensitivity-analysis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MIN_CHAIN_COUNT</w:t>
            </w:r>
          </w:p>
        </w:tc>
        <w:tc>
          <w:tcPr>
            <w:tcW w:type="dxa" w:w="1234"/>
          </w:tcPr>
          <w:p>
            <w:r>
              <w:t>High-risk local chains (n)</w:t>
            </w:r>
          </w:p>
        </w:tc>
        <w:tc>
          <w:tcPr>
            <w:tcW w:type="dxa" w:w="1234"/>
          </w:tcPr>
          <w:p>
            <w:r>
              <w:t>Main analysis default</w:t>
            </w:r>
          </w:p>
        </w:tc>
        <w:tc>
          <w:tcPr>
            <w:tcW w:type="dxa" w:w="1234"/>
          </w:tcPr>
          <w:p>
            <w:r>
              <w:t>Section</w:t>
            </w:r>
          </w:p>
        </w:tc>
        <w:tc>
          <w:tcPr>
            <w:tcW w:type="dxa" w:w="1234"/>
          </w:tcPr>
          <w:p>
            <w:r>
              <w:t>Comparison</w:t>
            </w:r>
          </w:p>
        </w:tc>
        <w:tc>
          <w:tcPr>
            <w:tcW w:type="dxa" w:w="1234"/>
          </w:tcPr>
          <w:p>
            <w:r>
              <w:t>Top-10 overlap (n)</w:t>
            </w:r>
          </w:p>
        </w:tc>
        <w:tc>
          <w:tcPr>
            <w:tcW w:type="dxa" w:w="1234"/>
          </w:tcPr>
          <w:p>
            <w:r>
              <w:t>Top-10 Jaccard similarity</w:t>
            </w:r>
          </w:p>
        </w:tc>
      </w:tr>
      <w:tr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66.00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Threshold summary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3.000</w:t>
            </w:r>
          </w:p>
        </w:tc>
        <w:tc>
          <w:tcPr>
            <w:tcW w:type="dxa" w:w="1234"/>
          </w:tcPr>
          <w:p>
            <w:r>
              <w:t>21.00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Threshold summary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12.00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Threshold summary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Top-10 stability</w:t>
            </w:r>
          </w:p>
        </w:tc>
        <w:tc>
          <w:tcPr>
            <w:tcW w:type="dxa" w:w="1234"/>
          </w:tcPr>
          <w:p>
            <w:r>
              <w:t>threshold_2_vs_3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Top-10 stability</w:t>
            </w:r>
          </w:p>
        </w:tc>
        <w:tc>
          <w:tcPr>
            <w:tcW w:type="dxa" w:w="1234"/>
          </w:tcPr>
          <w:p>
            <w:r>
              <w:t>threshold_3_vs_4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Top-10 stability</w:t>
            </w:r>
          </w:p>
        </w:tc>
        <w:tc>
          <w:tcPr>
            <w:tcW w:type="dxa" w:w="1234"/>
          </w:tcPr>
          <w:p>
            <w:r>
              <w:t>threshold_2_vs_4</w:t>
            </w:r>
          </w:p>
        </w:tc>
        <w:tc>
          <w:tcPr>
            <w:tcW w:type="dxa" w:w="1234"/>
          </w:tcPr>
          <w:p>
            <w:r>
              <w:t>10.00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