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二季度工作汇报</w:t>
      </w:r>
    </w:p>
    <w:p>
      <w:r>
        <w:t>完成 A 项目交付，整体效率提升 35%。</w:t>
      </w:r>
    </w:p>
    <w:p>
      <w:r>
        <w:t>交付事项 1：核心模块联调与上线推进内容。</w:t>
      </w:r>
    </w:p>
    <w:p>
      <w:r>
        <w:t>交付事项 2：核心模块联调与上线推进内容。</w:t>
      </w:r>
    </w:p>
    <w:p>
      <w:r>
        <w:t>交付事项 3：核心模块联调与上线推进内容。</w:t>
      </w:r>
    </w:p>
    <w:p>
      <w:r>
        <w:t>交付事项 4：核心模块联调与上线推进内容。</w:t>
      </w:r>
    </w:p>
    <w:p>
      <w:r>
        <w:t>交付事项 5：核心模块联调与上线推进内容。</w:t>
      </w:r>
    </w:p>
    <w:p>
      <w:r>
        <w:t>交付事项 6：核心模块联调与上线推进内容。</w:t>
      </w:r>
    </w:p>
    <w:p>
      <w:r>
        <w:t>交付事项 7：核心模块联调与上线推进内容。</w:t>
      </w:r>
    </w:p>
    <w:p>
      <w:r>
        <w:t>交付事项 8：核心模块联调与上线推进内容。</w:t>
      </w:r>
    </w:p>
    <w:p>
      <w:r>
        <w:t>交付事项 9：核心模块联调与上线推进内容。</w:t>
      </w:r>
    </w:p>
    <w:p>
      <w:r>
        <w:t>交付事项 10：核心模块联调与上线推进内容。</w:t>
      </w:r>
    </w:p>
    <w:p>
      <w:r>
        <w:t>交付事项 11：核心模块联调与上线推进内容。</w:t>
      </w:r>
    </w:p>
    <w:p>
      <w:r>
        <w:t>交付事项 12：核心模块联调与上线推进内容。</w:t>
      </w:r>
    </w:p>
    <w:p>
      <w:r>
        <w:t>交付事项 13：核心模块联调与上线推进内容。</w:t>
      </w:r>
    </w:p>
    <w:p>
      <w:r>
        <w:t>交付事项 14：核心模块联调与上线推进内容。</w:t>
      </w:r>
    </w:p>
    <w:p>
      <w:r>
        <w:t>交付事项 15：核心模块联调与上线推进内容。</w:t>
      </w:r>
    </w:p>
  </w:body>
</w:document>
</file>