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  <w:jc w:val="center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עיצוב טכני (Technical Design)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חלק א׳: ERD ו-Data Dictionary</w:t>
      </w:r>
    </w:p>
    <w:p>
      <w:pPr>
        <w:spacing w:after="600"/>
        <w:jc w:val="center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מבוסס במלואו על מסמך האפיון העסקי (27 פרקים) — ללא שינוי החלטות עסקיות</w:t>
      </w:r>
    </w:p>
    <w:p>
      <w:pPr>
        <w:spacing w:after="40"/>
        <w:jc w:val="center"/>
      </w:pPr>
      <w:r>
        <w:rPr>
          <w:rFonts w:ascii="Arial" w:cs="Arial" w:eastAsia="Arial" w:hAnsi="Arial"/>
          <w:sz w:val="22"/>
          <w:szCs w:val="22"/>
        </w:rPr>
        <w:t xml:space="preserve">גרסה 1.0</w:t>
      </w:r>
    </w:p>
    <w:p>
      <w:pPr>
        <w:spacing w:after="900"/>
        <w:jc w:val="center"/>
      </w:pPr>
      <w:r>
        <w:rPr>
          <w:rFonts w:ascii="Arial" w:cs="Arial" w:eastAsia="Arial" w:hAnsi="Arial"/>
          <w:sz w:val="22"/>
          <w:szCs w:val="22"/>
        </w:rPr>
        <w:t xml:space="preserve">תאריך: 02/07/2026</w:t>
      </w:r>
    </w:p>
    <w:p>
      <w:pPr>
        <w:spacing w:after="900"/>
        <w:jc w:val="center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מסמך זה מתרגם את מסמך האפיון העסקי למבנה נתונים טכני מלא: ERD חזותי, ו-Data Dictionary ברמת שדה עבור כל ישות. שמות הטבלאות והשדות ניתנים באנגלית (snake_case), בהתאם למוסכמות פיתוח סטנדרטיות. סדר החלקים הבאים בשכבת העיצוב הטכני (NFR, API Specification, RBAC Matrix, Audit Trail, UAT, Architecture) ייבנה במסמכים/פרקים נפרדים בהמשך.</w:t>
      </w:r>
    </w:p>
    <w:p>
      <w:pPr>
        <w:pageBreakBefore/>
      </w:pPr>
    </w:p>
    <w:p>
      <w:pPr>
        <w:pStyle w:val="Heading1"/>
        <w:bidi/>
        <w:spacing w:after="160" w:before="360"/>
        <w:jc w:val="right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1. ERD – תרשימי ישויות וקשרים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להלן שלושה תרשימי ERD מרכזיים, המכסים את הדומיינים המורכבים ביותר של המערכת. יתר הדומיינים (ספקים, מסמכים/הדרכות, תחזוקה, דיווח/אינטגרציה) מתועדים במלואם ב-Data Dictionary (חלק 2), כולל כל מפתחות הקישור (FK), ללא צורך בתרשים גרפי נפרד עבור כל אחד.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סימון: PK = מפתח ראשי (אדום, מודגש). FK = מפתח זר (כחול, נטוי). קווי קשר מסומנים בעוצמת ריבוי (1 / N) בכל קצה. קו מקווקו מציין קשר שני בין אותן שתי ישויות (למשל טבלת קישור עם שני כיווני קישור לאותה ישות).</w:t>
      </w:r>
    </w:p>
    <w:p>
      <w:pPr>
        <w:pStyle w:val="Heading2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1.1 נתוני אב: פריטים, BOM, מיקומים ואלרגנים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מקור: פרקים 4 (סוגי פריטים), 5 (BOM), 6 (אלרגנים), 7 (מיקומי אחסון) במסמך האפיון העסקי.</w:t>
      </w:r>
    </w:p>
    <w:p>
      <w:pPr>
        <w:spacing w:after="160" w:before="160"/>
        <w:jc w:val="center"/>
      </w:pPr>
      <w:r>
        <w:drawing>
          <wp:inline distT="0" distB="0" distL="0" distR="0">
            <wp:extent cx="4953000" cy="3543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</w:p>
    <w:p>
      <w:pPr>
        <w:pStyle w:val="Heading2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1.2 קבלה, אצוות, ייצור, ספירות והחזרות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מקור: פרקים 9 (תכנון ייצור), 10 (קבלת סחורה), 11 (אצוות), 15 (החזרות והשמדה), 19 (ספקים), 23 (ספירות מלאי).</w:t>
      </w:r>
    </w:p>
    <w:p>
      <w:pPr>
        <w:spacing w:after="160" w:before="160"/>
        <w:jc w:val="center"/>
      </w:pPr>
      <w:r>
        <w:drawing>
          <wp:inline distT="0" distB="0" distL="0" distR="0">
            <wp:extent cx="5143500" cy="3629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</w:p>
    <w:p>
      <w:pPr>
        <w:pStyle w:val="Heading2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1.3 משתמשים, Workflow ואיכות (CCP/CAPA)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מקור: פרקים 3 (Workflow), 16 (HACCP/CCP), 17 (CAPA), 25 (משתמשים והרשאות).</w:t>
      </w:r>
    </w:p>
    <w:p>
      <w:pPr>
        <w:spacing w:after="160" w:before="160"/>
        <w:jc w:val="center"/>
      </w:pPr>
      <w:r>
        <w:drawing>
          <wp:inline distT="0" distB="0" distL="0" distR="0">
            <wp:extent cx="5143500" cy="3857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</w:p>
    <w:p>
      <w:pPr>
        <w:pStyle w:val="Heading1"/>
        <w:bidi/>
        <w:spacing w:after="160" w:before="360"/>
        <w:jc w:val="right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2. Data Dictionary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להלן מפרט מלא ברמת שדה לכל ישות במערכת, מאורגן לפי 9 דומיינים התואמים את מבנה הפרקים במסמך האפיון העסקי. שמות טבלאות ושדות באנגלית (snake_case). כל שדה "מפתח" מסומן PK (מפתח ראשי) או FK (מפתח זר, עם ציון הטבלה המקושרת בטור התיאור).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/>
          <w:iCs/>
          <w:color w:val="777777"/>
          <w:sz w:val="22"/>
          <w:szCs w:val="22"/>
        </w:rPr>
        <w:t xml:space="preserve">עודכן בעקבות ביקורת ארכיטקטורה בלתי תלויה: נוספו site_id לישויות השורש המרכזיות (יישום בפועל של עקרון ה-Multi-Site Readiness מ-ADR-005), ישות Stock Ledger מרכזית, מודל מסמכים מצורפים גנרי, וטבלת קונפיגורציה למקרים גלובליים. כל התוספות מיישמות דרישות שכבר קיימות באפיון העסקי (בפרט FR-067/068) ואינן מהוות הרחבת היקף עסקי.</w:t>
      </w:r>
    </w:p>
    <w:p>
      <w:pPr>
        <w:pStyle w:val="Heading2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2.1 דומיין נתוני אב (Master Data) — פרקים 4-7</w:t>
      </w: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items  —  פריטים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item_id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מזהה ייחודי, אוטומטי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site_id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sites.site_id (ראו 2.10); ברירת מחדל: האתר היחיד בפריסה הנוכחית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item_name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VARCHAR(200)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שם הפריט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item_type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raw_material / intermediate / finished_good / cleaning / disposable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base_uom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VARCHAR(20)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יחידת מידה בסיסית (ק"ג/ליטר/קרטון/יחידה)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default_location_id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storage_locations.location_id; חובה לחומרי גלם/ניקוי/חד"פ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shelf_life_closed_days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ימי תוקף סגור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shelf_life_open_days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ימי תוקף לאחר פתיחה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shelf_life_produced_days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ימי תוקף ממועד ייצור (למוצר ביניים/מוגמר)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requires_temp_check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BOOLEAN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ברירת מחדל FALSE; רלוונטי לחומרי גלם קפואים/מצוננים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requires_coa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BOOLEAN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דורש תעודת אנליזה בקבלה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min_stock_threshold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DECIMAL(12,3)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סף מלאי מינימום להתראה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status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active / inactive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version_no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מספר גרסה, לניהול היסטוריה (פרק 4.5)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created_at / updated_at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חותמות זמן סטנדרטיות</w:t>
            </w:r>
          </w:p>
        </w:tc>
      </w:tr>
    </w:tbl>
    <w:p>
      <w:pPr>
        <w:spacing w:after="160"/>
      </w:pP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bom  —  כותרת מתכון (BOM)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bom_id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parent_item_id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items.item_id; חייב מסוג intermediate או finished_good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version_number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עולה אוטומטית בכל שינוי מאושר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status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draft / active / historical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work_instructions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הוראות עבודה מובנות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media_url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VARCHAR(500)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קישור לתמונות/סרטון הדרכה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approved_by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users.user_id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effective_date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מועד כניסה לתוקף</w:t>
            </w:r>
          </w:p>
        </w:tc>
      </w:tr>
    </w:tbl>
    <w:p>
      <w:pPr>
        <w:spacing w:after="160"/>
      </w:pP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bom_lines  —  רכיבי מתכון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bom_line_id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bom_id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bom.bom_id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component_item_id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items.item_id; לפי BOM הורה: raw_material או intermediate בלבד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quantity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DECIMAL(12,3)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כמות ליחידת הורה אחת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uom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VARCHAR(20)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60"/>
      </w:pP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uom_conversions  —  המרות יחידות מידה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uom_conversion_id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item_id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items.item_id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derived_uom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VARCHAR(20)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conversion_factor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DECIMAL(12,4)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0 (ולידציה, פרק 4.6)</w:t>
            </w:r>
          </w:p>
        </w:tc>
      </w:tr>
    </w:tbl>
    <w:p>
      <w:pPr>
        <w:spacing w:after="160"/>
      </w:pP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allergen_definitions  —  הגדרות אלרגנים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allergen_id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allergen_name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VARCHAR(100)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is_standard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BOOLEAN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TRUE = מתוך 14 האלרגנים הסטנדרטיים</w:t>
            </w:r>
          </w:p>
        </w:tc>
      </w:tr>
    </w:tbl>
    <w:p>
      <w:pPr>
        <w:spacing w:after="160"/>
      </w:pP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item_allergens  —  תיוג אלרגן בחומר גלם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item_id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PK/FK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items.item_id (מפתח מורכב עם allergen_id)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allergen_id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PK/FK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allergen_definitions.allergen_id</w:t>
            </w:r>
          </w:p>
        </w:tc>
      </w:tr>
    </w:tbl>
    <w:p>
      <w:pPr>
        <w:spacing w:after="160"/>
      </w:pP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product_allergen_profile  —  פרופיל אלרגנים מחושב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product_item_id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PK/FK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items.item_id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allergen_id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PK/FK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allergen_definitions.allergen_id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contact_type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contains / may_contain (פרק 6.5)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last_calculated_at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עדכון אוטומטי בכל שינוי BOM/תיוג</w:t>
            </w:r>
          </w:p>
        </w:tc>
      </w:tr>
    </w:tbl>
    <w:p>
      <w:pPr>
        <w:spacing w:after="160"/>
      </w:pP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storage_locations  —  מיקומי אחסון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location_id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site_id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sites.site_id (ראו 2.10)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location_name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VARCHAR(150)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location_type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dry / frozen / chilled / disposable / cleaning / kitchen_wip / thawing (CR-001) / blast_chiller (v2.1) / ready_food_fridge (v2.1) / custom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status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active / inactive</w:t>
            </w:r>
          </w:p>
        </w:tc>
      </w:tr>
    </w:tbl>
    <w:p>
      <w:pPr>
        <w:spacing w:after="160"/>
      </w:pP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location_managers  —  שיוך מחסנאים למיקום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location_id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PK/FK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storage_locations.location_id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user_id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PK/FK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users.user_id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responsibility_role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מחסנאי / מנהל_מחסן</w:t>
            </w:r>
          </w:p>
        </w:tc>
      </w:tr>
    </w:tbl>
    <w:p>
      <w:pPr>
        <w:spacing w:after="160"/>
      </w:pP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/>
          <w:iCs/>
          <w:color w:val="777777"/>
          <w:sz w:val="22"/>
          <w:szCs w:val="22"/>
        </w:rPr>
        <w:t xml:space="preserve">v2.1: location_type='blast_chiller' ו-'ready_food_fridge' משקפים שני שלבים חדשים בזרימת המלאי (Business Specification ch8.1) — מוצר מוגמר עובר מהרכבה ל-Blast Chiller (קירור מהיר) ומשם למקרר מזון מוכן, עם מעבר אחריות תפעולית ממטבח/אריזה למחסן/לוגיסטיקה. אין שינוי במבנה הנתונים של batches — זהות האצווה נשמרת ללא יצירת אצווה חדשה בשלבים אלה, עקבי עם 11.1 באפיון.</w:t>
      </w:r>
    </w:p>
    <w:p>
      <w:pPr>
        <w:pStyle w:val="Heading2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2.2 דומיין ספקים — פרק 21</w:t>
      </w: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suppliers  —  ספקים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supplier_id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site_id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sites.site_id (ראו 2.10)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supplier_name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VARCHAR(200)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contact_info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VARCHAR(300)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approval_status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pending / approved / rejected / restricted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current_score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DECIMAL(5,2)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מחושב אוטומטית (Scorecard)</w:t>
            </w:r>
          </w:p>
        </w:tc>
      </w:tr>
    </w:tbl>
    <w:p>
      <w:pPr>
        <w:spacing w:after="160"/>
      </w:pP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supplier_documents  —  מסמכי ותעודות ספק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supplier_document_id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supplier_id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suppliers.supplier_id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document_type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VARCHAR(100)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תעודת איכות/כשרות/אנליזה וכד'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file_url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VARCHAR(500)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expiry_date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60"/>
      </w:pP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supplier_scorecards  —  הערכת ביצועי ספק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scorecard_id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supplier_id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suppliers.supplier_id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period_start / period_end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תקופת ההערכה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rejection_rate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DECIMAL(5,2)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אחוז דחיות בקבלה (מחושב מ-goods_receipts)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weighted_score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DECIMAL(5,2)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ציון סופי משוקלל</w:t>
            </w:r>
          </w:p>
        </w:tc>
      </w:tr>
    </w:tbl>
    <w:p>
      <w:pPr>
        <w:spacing w:after="160"/>
      </w:pPr>
    </w:p>
    <w:p>
      <w:pPr>
        <w:pStyle w:val="Heading2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2.3 דומיין קבלה ואצוות — פרקים 9-11</w:t>
      </w: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goods_receipts  —  קבלות סחורה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receipt_id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site_id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sites.site_id (ראו 2.10)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supplier_id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suppliers.supplier_id; חייב approval_status='approved' (פרק 10.6)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item_id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items.item_id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quantity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DECIMAL(12,3)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0 (ולידציה)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batch_id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batches.batch_id (נוצר/מקושר בעת הקבלה)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expiry_date_closed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תוקף סגור, מוזן ידנית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temp_check_value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DECIMAL(6,2)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רלוונטי לקפוא/מצונן בלבד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coa_attached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BOOLEAN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תעודת אנליזה מצורפת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receipt_status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accepted / rejected / returned_later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notes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חובה כאשר status אינו accepted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received_by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users.user_id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received_at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60"/>
      </w:pP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batches  —  אצוות (Lots)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batch_id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site_id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sites.site_id (ראו 2.10); דנורמליזציה מכוונת לביצועי שאילתה (NFR-005)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item_id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items.item_id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batch_number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VARCHAR(50)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מספר ספק או פנימי (unique per item)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source_type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supplier / internal_production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production_date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לאצוות ייצור פנימי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open_date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מועד פתיחת אריזה (אם רלוונטי)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expiry_date_closed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expiry_date_open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מחושב: open_date + shelf_life_open_days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current_location_id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storage_locations.location_id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current_quantity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DECIMAL(12,3)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≥ 0 (ולידציה, פרק 8.6)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status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active / on_hold / rejected / destroyed / consumed / thawing (CR-001) / thawed (CR-001)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thaw_location_id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 (CR-001)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storage_locations.location_id; מקרר הפשרה ייעודי (בשר/עופות/דגים), רק כאשר location_type='thawing'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thaw_start_at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DATETIME (CR-001)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תחילת הפשרה בפועל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thaw_end_at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DATETIME (CR-001)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סיום הפשרה בפועל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frozen_weight_in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DECIMAL(12,3) (CR-001)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משקל קפוא בכניסה למקרר ההפשרה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thawed_weight_out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DECIMAL(12,3) (CR-001)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משקל מופשר ביציאה; % פחת מחושב באפליקציה: (frozen_weight_in-thawed_weight_out)/frozen_weight_in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original_closed_expiry_date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DATE (CR-001)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תוקף סגור מקורי, נשמר להיסטוריה בכניסה להפשרה (אינו מוחלף, expiry_date_closed הקיים ממשיך לשקף את הערך העדכני לפי הכללים הרגילים)</w:t>
            </w:r>
          </w:p>
        </w:tc>
      </w:tr>
    </w:tbl>
    <w:p>
      <w:pPr>
        <w:spacing w:after="160"/>
      </w:pP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batch_consumption  —  קישורי אצוות (עקיבות)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parent_batch_id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PK/FK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batches.batch_id (האצווה היולדת)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component_batch_id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PK/FK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batches.batch_id (אצוות הרכיב)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quantity_used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DECIMAL(12,3)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2.4 דומיין ייצור ומלאי — פרקים 8, 23</w:t>
      </w: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production_plans  —  תוכנית ייצור שבועית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plan_id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site_id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sites.site_id (ראו 2.10)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product_item_id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items.item_id; חייב BOM פעיל (פרק 9.6)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plan_date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planned_quantity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DECIMAL(12,3)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0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status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draft / published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approved_by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users.user_id; נדרש אם נבנה ע"י מתכנן</w:t>
            </w:r>
          </w:p>
        </w:tc>
      </w:tr>
    </w:tbl>
    <w:p>
      <w:pPr>
        <w:spacing w:after="160"/>
      </w:pP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daily_allocation_lines  —  דוח ניפוק יומי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allocation_id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plan_id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production_plans.plan_id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location_id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storage_locations.location_id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item_id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items.item_id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required_quantity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DECIMAL(12,3)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מחושב מ-BOM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allocated_batch_id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batches.batch_id; מוצע FEFO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allocated_by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users.user_id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status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pending / allocated</w:t>
            </w:r>
          </w:p>
        </w:tc>
      </w:tr>
    </w:tbl>
    <w:p>
      <w:pPr>
        <w:spacing w:after="160"/>
      </w:pP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inventory_counts  —  ספירות מלאי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count_id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count_date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location_id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storage_locations.location_id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batch_id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batches.batch_id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theoretical_qty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DECIMAL(12,3)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מוסתר עד להזנת counted_qty (פרק 23.5)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counted_qty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DECIMAL(12,3)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variance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DECIMAL(12,3)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מחושב: counted_qty - theoretical_qty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approval_status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auto_approved / pending_approval / approved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counted_by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users.user_id</w:t>
            </w:r>
          </w:p>
        </w:tc>
      </w:tr>
    </w:tbl>
    <w:p>
      <w:pPr>
        <w:spacing w:after="160"/>
      </w:pPr>
    </w:p>
    <w:p>
      <w:pPr>
        <w:pStyle w:val="Heading2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2.5 דומיין החזרות והשמדה — פרק 15</w:t>
      </w: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returns  —  החזרות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return_id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product_item_id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items.item_id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batch_id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batches.batch_id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quantity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DECIMAL(12,3)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reason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quality / expiry / overorder / other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disposition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restock_conditional / destroy / inspect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registered_by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users.user_id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registered_at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60"/>
      </w:pP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destruction_records  —  רשומות השמדה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destruction_id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batch_id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batches.batch_id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quantity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DECIMAL(12,3)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reason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qa_approved_by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users.user_id (בעל Role 'מנהלת אבטחת איכות')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manager_approved_by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users.user_id; נדרש מעל סף שיוגדר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performed_at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protocol_url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VARCHAR(500)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פרוטוקול השמדה מלא — חובה (פרק 15.6)</w:t>
            </w:r>
          </w:p>
        </w:tc>
      </w:tr>
    </w:tbl>
    <w:p>
      <w:pPr>
        <w:spacing w:after="160"/>
      </w:pPr>
    </w:p>
    <w:p>
      <w:pPr>
        <w:pStyle w:val="Heading2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2.6 דומיין איכות — פרקים 16-17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(CR-001) תהליך ההפשרה (בשר/עופות/דגים, פרק 11.9 באפיון) משתמש חוזר במלואו במבנה הקיים למטה — ללא הוספת עמודה או טבלה. שתי דוגמאות קונפיגורציה (נתונים, לא סכימה) הממחישות זאת: (1) CCP "משך הפשרה מרבי — דגים": linked_item_id=(פריטי דגים), measurement_parameter="duration_hours", upper_limit=36, responsible_role_id=(מנהל ייצור — לא אבטחת איכות, ראו פרק 16.1 באפיון); (2) CCP "טמפרטורת יעד הפשרה — בשר/עופות": ללא upper_limit קבוע, מנוטר מול lower_limit בלבד. מדידות ההפשרה בפועל (זמן/משקל/טמפרטורה) נכתבות לטבלת ccp_measurements הקיימת, עם batch_id זהה לאצוות המקורית (לא אצוות חדשה, עקבי עם 5.2 ב-Impact Analysis).</w:t>
      </w: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ccp_definitions  —  הגדרות CCP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ccp_id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ccp_name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VARCHAR(200)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linked_item_id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items.item_id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measurement_parameter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VARCHAR(100)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טמפרטורה/זמן/משקל/pH/מותאם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uom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VARCHAR(20)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lower_limit / upper_limit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DECIMAL(12,3)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לפחות אחד מהשניים חובה (פרק 16.6)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frequency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VARCHAR(50)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responsible_role_id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roles.role_id (גמיש לכל CCP — לדוגמת שימוש, ראו הערת CR-001 מעלה)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recording_method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manual / automatic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status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active / inactive</w:t>
            </w:r>
          </w:p>
        </w:tc>
      </w:tr>
    </w:tbl>
    <w:p>
      <w:pPr>
        <w:spacing w:after="160"/>
      </w:pP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ccp_measurements  —  מדידות CCP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measurement_id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ccp_id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ccp_definitions.ccp_id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batch_id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batches.batch_id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measured_value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DECIMAL(12,3)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measured_at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status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in_range / deviation (מחושב אוטומטית)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measured_by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users.user_id</w:t>
            </w:r>
          </w:p>
        </w:tc>
      </w:tr>
    </w:tbl>
    <w:p>
      <w:pPr>
        <w:spacing w:after="160"/>
      </w:pP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gmp_checklists / gmp_checklist_items  —  צ'קליסטי GMP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checklist_id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טבלת checklists: שם, תדירות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item_id (checklist)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טבלת items: checklist_id FK, טקסט סעיף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is_checked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BOOLEAN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performed_by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users.user_id; חובה אם is_checked=TRUE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performed_at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60"/>
      </w:pP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quality_deviations  —  חריגות איכות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deviation_id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source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receipt / ccp / complaint / audit / manual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related_batch_id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batches.batch_id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severity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low / medium / high / critical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handling_role_id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roles.role_id (ברירת מחדל: מנהלת אבטחת איכות; לחריגות הפשרה - מנהל ייצור, CR-001)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status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open / investigating / closed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opened_at / closed_at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60"/>
      </w:pP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capa_records  —  רשומות CAPA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capa_id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deviation_id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quality_deviations.deviation_id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root_cause_method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5why / fishbone / free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root_cause_text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corrective_action / preventive_action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חובה לפני מעבר לסטטוס בביצוע (פרק 17.6)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corrective_owner_id / preventive_owner_id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users.user_id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corrective_due_date / preventive_due_date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effectiveness_check_date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effectiveness_result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pending / effective / not_effective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status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open / investigating / pending_verification / closed / reopened</w:t>
            </w:r>
          </w:p>
        </w:tc>
      </w:tr>
    </w:tbl>
    <w:p>
      <w:pPr>
        <w:spacing w:after="160"/>
      </w:pPr>
    </w:p>
    <w:p>
      <w:pPr>
        <w:pStyle w:val="Heading2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2.7 דומיין מסמכים והדרכות — פרקים 18, 20</w:t>
      </w: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documents  —  מסמכים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document_id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site_id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sites.site_id (ראו 2.10)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document_name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VARCHAR(200)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document_type_id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document_types.document_type_id (ראו 2.11 — טבלת Reference, לא ENUM)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owner_user_id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users.user_id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review_due_date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לרישיון רגולטורי: תאריך פקיעה בפועל (פרק 18.5)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status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active / inactive</w:t>
            </w:r>
          </w:p>
        </w:tc>
      </w:tr>
    </w:tbl>
    <w:p>
      <w:pPr>
        <w:spacing w:after="160"/>
      </w:pP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document_versions  —  גרסאות מסמך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version_id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document_id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documents.document_id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version_number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file_url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VARCHAR(500)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status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draft / under_review / active / inactive; פעילה אחת בלבד לכל מסמך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published_at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approved_by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users.user_id</w:t>
            </w:r>
          </w:p>
        </w:tc>
      </w:tr>
    </w:tbl>
    <w:p>
      <w:pPr>
        <w:spacing w:after="160"/>
      </w:pP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read_understood_acknowledgements  —  אישורי קראתי והבנתי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ack_id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document_version_id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document_versions.version_id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user_id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users.user_id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acknowledged_at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60"/>
      </w:pP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training_programs  —  תוכניות הדרכה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program_id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program_name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VARCHAR(200)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content_url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VARCHAR(500)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target_type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role / asset / ccp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target_id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מזהה הישות המקושרת (לפי target_type)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requires_exam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BOOLEAN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validity_days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60"/>
      </w:pP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employee_competency  —  כשירות עובד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competency_id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user_id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users.user_id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training_program_id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training_programs.program_id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status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valid / expired / missing / in_progress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completed_at / valid_until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2.8 דומיין תחזוקה — פרק 19</w:t>
      </w: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assets  —  ציוד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asset_id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site_id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sites.site_id (ראו 2.10)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department_id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departments.department_id; המחלקה האחראית על הציוד — קובעת ניתוב קריאות שירות (פרק 19.1 באפיון)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asset_name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VARCHAR(200)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asset_type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production / measurement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location_id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storage_locations.location_id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is_ccp_critical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BOOLEAN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אם TRUE — מקושר ל-ccp_definitions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maintenance_frequency_days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calibration_frequency_days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רלוונטי ל-measurement בלבד</w:t>
            </w:r>
          </w:p>
        </w:tc>
      </w:tr>
    </w:tbl>
    <w:p>
      <w:pPr>
        <w:spacing w:after="160"/>
      </w:pP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maintenance_tickets  —  קריאות שירות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ticket_id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asset_id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assets.asset_id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department_id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departments.department_id; דנורמליזציה מכוונת מ-assets.department_id בעת יצירת הקריאה, לביצועי שאילתה וניתוב (פרק 19.1 באפיון — אין עוד "תפקיד תחזוקה" מרכזי)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urgency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low / medium / high / urgent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assigned_user_id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users.user_id; שיוך אופציונלי לעובד ספציפי בתוך המחלקה המטפלת; אינו חובה — הניתוב הראשי הוא ברמת מחלקה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resolution_notes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חובה לפני סגירה (פרק 19.6)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status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open / in_progress / closed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opened_at / closed_at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60"/>
      </w:pP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calibration_records  —  רשומות כיול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calibration_id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asset_id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assets.asset_id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performed_at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performed_by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VARCHAR(200)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גורם מבצע (פנימי/חיצוני)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result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pass / fail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certificate_url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VARCHAR(500)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next_calibration_date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מחושב אוטומטית</w:t>
            </w:r>
          </w:p>
        </w:tc>
      </w:tr>
    </w:tbl>
    <w:p>
      <w:pPr>
        <w:spacing w:after="160"/>
      </w:pPr>
    </w:p>
    <w:p>
      <w:pPr>
        <w:pStyle w:val="Heading2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2.9 דומיין Workflow, משתמשים, דיווח ואינטגרציה — פרקים 3, 22, 24-26</w:t>
      </w: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users  —  משתמשים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user_id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site_id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sites.site_id (ראו 2.10); NULL = גישה חוצת-אתרים (מנהל מערכת/מנהל ייצור, תפקידים ללא מחלקה קבועה)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username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VARCHAR(100)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Unique; משמש להתחברות (API Specification חלק ג׳, POST /v1/auth/login)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password_hash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VARCHAR(255)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Hash בלבד (bcrypt/argon2 או שווה-ערך) — אין ולא יהיה שדה לסיסמה גולמית (raw password) בשום מקום במסד הנתונים או ב-Log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full_name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VARCHAR(200)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status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active / inactive; לא ניתן למחיקה, רק השבתה (פרק 25.6)</w:t>
            </w:r>
          </w:p>
        </w:tc>
      </w:tr>
    </w:tbl>
    <w:p>
      <w:pPr>
        <w:spacing w:after="160"/>
      </w:pP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roles / user_roles  —  תפקידים ושיוך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role_id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טבלת roles: role_name — 12 תפקידים עסקיים ספציפיים (פרק 25.1 באפיון; רשימה סופית, לא ENUM גנרי)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user_id, role_id (user_roles)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PK/FK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שיוך רבים-לרבים (פרק 25.1)</w:t>
            </w:r>
          </w:p>
        </w:tc>
      </w:tr>
    </w:tbl>
    <w:p>
      <w:pPr>
        <w:spacing w:after="160"/>
      </w:pP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departments / user_departments  —  מחלקות ושיוך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department_id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טבלת departments: department_name — 11 מחלקות ארגוניות (פרק 25.1 באפיון; רשימה סופית)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user_id, department_id (user_departments)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PK/FK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שיוך רבים-לרבים, עצמאי לחלוטין משיוך התפקידים (יחס נפרד, לא כפול, פרק 25.1)</w:t>
            </w:r>
          </w:p>
        </w:tc>
      </w:tr>
    </w:tbl>
    <w:p>
      <w:pPr>
        <w:spacing w:after="160"/>
      </w:pP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workflow_definitions / workflow_steps  —  הגדרות Workflow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workflow_id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טבלת workflow_definitions: workflow_name, process_type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step_id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טבלת workflow_steps: workflow_id FK, step_order, role_id FK, sla_hours, escalation_role_id FK</w:t>
            </w:r>
          </w:p>
        </w:tc>
      </w:tr>
    </w:tbl>
    <w:p>
      <w:pPr>
        <w:spacing w:after="160"/>
      </w:pP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workflow_tasks  —  משימות/התראות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task_id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workflow_id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workflow_definitions.workflow_id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related_entity_type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VARCHAR(50)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שם הטבלה המקושרת (למשל batches, ccp_measurements)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related_entity_id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מזהה הרשומה המקושרת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assigned_role_id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roles.role_id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assigned_user_id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users.user_id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status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open / in_progress / closed / escalated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created_at / due_at / closed_at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resolution_notes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חובה בסגירה (פרק 24.6)</w:t>
            </w:r>
          </w:p>
        </w:tc>
      </w:tr>
    </w:tbl>
    <w:p>
      <w:pPr>
        <w:spacing w:after="160"/>
      </w:pP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kpi_definitions / kpi_snapshots  —  KPI ודוחות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kpi_id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טבלת kpi_definitions: kpi_name, data_source, formula, threshold_value, calculation_frequency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snapshot_id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טבלת kpi_snapshots: kpi_id FK, calculated_value, calculated_at, threshold_breached</w:t>
            </w:r>
          </w:p>
        </w:tc>
      </w:tr>
    </w:tbl>
    <w:p>
      <w:pPr>
        <w:spacing w:after="160"/>
      </w:pP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integration_sync_log  —  יומן סנכרון Priority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sync_id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entity_type / entity_id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VARCHAR/INT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הישות המסונכרנת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source_of_truth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system / priority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direction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to_priority / from_priority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status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success / failed / pending_retry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synced_at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retry_count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error_message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60"/>
      </w:pPr>
    </w:p>
    <w:p>
      <w:pPr>
        <w:pageBreakBefore/>
      </w:pPr>
    </w:p>
    <w:p>
      <w:pPr>
        <w:pStyle w:val="Heading2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2.10 דומיין תשתית רוחבית (Cross-Cutting Infrastructure)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הישויות הבאות נוספו בעקבות ביקורת ארכיטקטורה בלתי תלויה. הן משרתות את כלל הדומיינים לעיל, ואינן שייכות לפרק עסקי בודד.</w:t>
      </w:r>
    </w:p>
    <w:p>
      <w:pPr>
        <w:pStyle w:val="Heading3"/>
        <w:bidi/>
        <w:spacing w:after="90" w:before="200"/>
        <w:jc w:val="right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Stock Ledger — יומן תנועות מלאי מרכזי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מיישם בפועל את FR-067 ו-FR-068 (פרק 8 באפיון העסקי: "ניהול מלאי ברמת אצווה" ו"תיעוד תזועת מלאי כפעולה אטומית"), שהוגדרו כדרישה עסקית אך לא קיבלו טבלה ייעודית בגרסה הקודמת של המסמך. כל שינוי כמות באצווה — קבלה, ניפוק, צריכה לייצור, פלט ייצור, העברה, ספירה/תיקון, החזרה, הסגר, שחרור, השמדה — נכתב כאן כרשומה אחת, בנוסף לרשומה בטבלת המקור (למשל goods_receipts). כך מתקבל יומן-חשבונות (Ledger) יחיד לצורך חישוב יתרה, ביקורת, וניפוי שגיאות מלאי.</w:t>
      </w: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inventory_movements  —  יומן תנועות מלאי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movement_id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site_id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sites.site_id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item_id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items.item_id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batch_id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batches.batch_id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location_id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storage_locations.location_id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movement_type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receipt / allocation_out / production_consumption / production_output / transfer_in / transfer_out / count_adjustment / return / hold / release / destruction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quantity_delta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DECIMAL(12,3)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חיובי (הוספה) או שלילי (הפחתה)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uom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VARCHAR(20)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source_entity_type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VARCHAR(50)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שם הטבלה שיצרה את התנועה (למשל goods_receipts, inventory_counts)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source_entity_id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מזהה הרשומה המקורית באותה טבלה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performed_by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users.user_id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performed_at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60"/>
      </w:pP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/>
          <w:iCs/>
          <w:color w:val="777777"/>
          <w:sz w:val="22"/>
          <w:szCs w:val="22"/>
        </w:rPr>
        <w:t xml:space="preserve">עקרון מפתח: batches.current_quantity הוא שדה נגזר (Denormalized) לביצועים, המתעדכן אוטומטית בכל insert ל-inventory_movements עבור אותה אצווה; ה-Ledger הוא מקור האמת ההיסטורי, ה-current_quantity הוא Cache הניתן לשחזור מלא מסכימת ה-Ledger בכל עת.</w:t>
      </w:r>
    </w:p>
    <w:p>
      <w:pPr>
        <w:pStyle w:val="Heading3"/>
        <w:bidi/>
        <w:spacing w:after="90" w:before="200"/>
        <w:jc w:val="right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Sites — ריבוי אתרים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מיישם בפועל את עקרון ה-Multi-Site Readiness (Architecture, חלק ז׳, ADR-005). site_id נוסף לישויות "השורש" של כל דומיין (פריטים, מיקומים, ספקים, אצוות, קבלות, תוכניות ייצור, משתמשים, מסמכים, ציוד); טבלאות פירוט/קישור (למשל bom_lines, batch_consumption) יורשות את היקף האתר דרך ה-FK להורה שלהן, ואינן זקוקות לעמודת site_id כפולה ומיותרת.</w:t>
      </w: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sites  —  אתרים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site_id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site_name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VARCHAR(150)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status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active / inactive</w:t>
            </w:r>
          </w:p>
        </w:tc>
      </w:tr>
    </w:tbl>
    <w:p>
      <w:pPr>
        <w:spacing w:after="160"/>
      </w:pP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/>
          <w:iCs/>
          <w:color w:val="777777"/>
          <w:sz w:val="22"/>
          <w:szCs w:val="22"/>
        </w:rPr>
        <w:t xml:space="preserve">בפריסה הראשונית קיים רשומת site אחת בלבד; המבנה מוכן להוספת אתרים נוספים ללא שינוי סכימה.</w:t>
      </w:r>
    </w:p>
    <w:p>
      <w:pPr>
        <w:pStyle w:val="Heading3"/>
        <w:bidi/>
        <w:spacing w:after="90" w:before="200"/>
        <w:jc w:val="right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Attached Documents — מסמכים מצורפים גנריים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מודל אחיד לקבצים נלווים (תעודות ספק, תעודות אנליזה, תמונות, פרוטוקולי השמדה) המוזכרים לאורך האפיון העסקי (פרקים 9, 15, 16, 19) ללא מנגנון אחסון מאוחד. שדות "תוכן ראשי" ייעודיים (כגון document_versions.file_url, שהוא הגוף המרכזי של נוהל, לא צירוף משני) נשארים כפי שהם.</w:t>
      </w: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attached_documents  —  מסמכים/קבצים מצורפים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attachment_id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entity_type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VARCHAR(50)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שם הטבלה המקושרת (למשל goods_receipts, destruction_records, gmp_checklist_items)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entity_id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מזהה הרשומה המקושרת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document_type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VARCHAR(50)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coa / supplier_cert / photo / destruction_protocol / other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storage_key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VARCHAR(500)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מפתח באחסון העצמים (Object Storage, Architecture חלק ז׳ פרק 6.2)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checksum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VARCHAR(64)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לאימות שלמות הקובץ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uploaded_by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users.user_id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uploaded_at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3"/>
        <w:bidi/>
        <w:spacing w:after="90" w:before="200"/>
        <w:jc w:val="right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System Parameters — קונפיגורציה גלובלית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שדות קונפיגורציה ברוב המערכת ממוקמים בכוונה על הישות שהם שולטים בה (למשל min_stock_threshold על items, sla_hours על workflow_steps, threshold_value על kpi_definitions) — עיקרון תכנון עדיף, כי הוא שומר על הקונפיגורציה קרובה למה שהיא מגדירה, ומאפשר Join ישיר וולידציה מסוג נכון. טבלת system_parameters מיועדת אך ורק לערכים גלובליים אמיתיים שאין להם "בית" טבעי בישות ספציפית — לדוגמה סף "מלאי שלא זז" של 7 ימים (פרק 15 באפיון, המוגדר במפורש כ"ערך אחיד למערכת").</w:t>
      </w: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system_parameters  —  פרמטרים גלובליים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parameter_key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VARCHAR(100)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למשל stale_inventory_threshold_days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parameter_value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VARCHAR(500)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מאוחסן כטקסט, מומר לפי סוג היעד באפליקציה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data_type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 / decimal / boolean / string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updated_by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→ users.user_id</w:t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updated_at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DATETIME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2.11 עקרון ENUM מול טבלת Reference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בעקבות ביקורת הארכיטקטורה, מתועד כאן עקרון מפורש להכרעה בין שדה ENUM קשיח (הדורש שינוי קוד/Migration להוספת ערך) לבין טבלת Reference/Lookup גמישה (ניתנת להרחבה דרך מסך הגדרות, ללא קוד):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900"/>
        <w:gridCol w:w="2900"/>
      </w:tblGrid>
      <w:tr>
        <w:trPr>
          <w:tblHeader/>
        </w:trPr>
        <w:tc>
          <w:tcPr>
            <w:tcW w:type="dxa" w:w="3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קריטריון</w:t>
            </w:r>
          </w:p>
        </w:tc>
        <w:tc>
          <w:tcPr>
            <w:tcW w:type="dxa" w:w="2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נשאר ENUM קשיח</w:t>
            </w:r>
          </w:p>
        </w:tc>
        <w:tc>
          <w:tcPr>
            <w:tcW w:type="dxa" w:w="2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הופך לטבלת Reference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האם לכל ערך יש התנהגות קוד שונה (מעברי מצב, ולידציה ייחודית)?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 — למשל batch.status, capa.status, workflow_task.status: כל ערך מפעיל לוגיקה שונה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 — הערך משמש לתיוג/דיווח בלבד</w:t>
            </w:r>
          </w:p>
        </w:tc>
      </w:tr>
      <w:tr>
        <w:tc>
          <w:tcPr>
            <w:tcW w:type="dxa" w:w="3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האם רשימת הערכים סגורה מטבעה (מספר קבוע, מוגדר רגולטורית)?</w:t>
            </w:r>
          </w:p>
        </w:tc>
        <w:tc>
          <w:tcPr>
            <w:tcW w:type="dxa" w:w="2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כן — למשל contact_type (contains/may_contain)</w:t>
            </w:r>
          </w:p>
        </w:tc>
        <w:tc>
          <w:tcPr>
            <w:tcW w:type="dxa" w:w="2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 — "כל סוג מסמך אחר" (פרק 18.1 באפיון) מרמז על רשימה פתוחה</w:t>
            </w:r>
          </w:p>
        </w:tc>
      </w:tr>
      <w:t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דוגמאות מהמערכת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batches.status, capa_records.status, workflow_tasks.status, quality_deviations.severity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documents.document_type_id (הומר בפועל לטבלת document_types בסבב ביקורת זה)</w:t>
            </w:r>
          </w:p>
        </w:tc>
      </w:tr>
    </w:tbl>
    <w:p>
      <w:pPr>
        <w:spacing w:after="120"/>
      </w:pPr>
    </w:p>
    <w:p>
      <w:pPr>
        <w:bidi/>
        <w:spacing w:after="60" w:before="140"/>
        <w:jc w:val="right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document_types  —  סוגי מסמכים (Reference)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900"/>
        <w:gridCol w:w="700"/>
        <w:gridCol w:w="4400"/>
      </w:tblGrid>
      <w:tr>
        <w:trPr>
          <w:tblHeader/>
        </w:trPr>
        <w:tc>
          <w:tcPr>
            <w:tcW w:type="dxa" w:w="1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שדה (Field)</w:t>
            </w:r>
          </w:p>
        </w:tc>
        <w:tc>
          <w:tcPr>
            <w:tcW w:type="dxa" w:w="15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סוג נתון (Type)</w:t>
            </w:r>
          </w:p>
        </w:tc>
        <w:tc>
          <w:tcPr>
            <w:tcW w:type="dxa" w:w="9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מפתח</w:t>
            </w:r>
          </w:p>
        </w:tc>
        <w:tc>
          <w:tcPr>
            <w:tcW w:type="dxa" w:w="7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Null?</w:t>
            </w:r>
          </w:p>
        </w:tc>
        <w:tc>
          <w:tcPr>
            <w:tcW w:type="dxa" w:w="4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תיאור / אילוץ עסקי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document_type_id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PK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type_name</w:t>
            </w:r>
          </w:p>
        </w:tc>
        <w:tc>
          <w:tcPr>
            <w:tcW w:type="dxa" w:w="15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VARCHAR(100)</w:t>
            </w:r>
          </w:p>
        </w:tc>
        <w:tc>
          <w:tcPr>
            <w:tcW w:type="dxa" w:w="9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sop / form / work_instruction / supplier_cert / external_standard / quality_doc / training_doc / regulatory_license / ...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is_active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BOOLEAN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לא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מאפשר הוספת סוג מסמך חדש דרך מסך הגדרות, ללא Migration</w:t>
            </w:r>
          </w:p>
        </w:tc>
      </w:tr>
    </w:tbl>
    <w:p>
      <w:pPr>
        <w:spacing w:after="160"/>
      </w:pP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/>
          <w:iCs/>
          <w:color w:val="777777"/>
          <w:sz w:val="22"/>
          <w:szCs w:val="22"/>
        </w:rPr>
        <w:t xml:space="preserve">שאר שדות ה-ENUM במערכת (batches.status, capa_records.status, workflow_tasks.status וכד') נבדקו ונשארים ENUM קשיח במכוון: לכל אחד מהם קוד אפליקטיבי הצמוד לערך הספציפי (למשל "on_hold" חוסם ניפוק; "escalated" מפעיל שרשרת התראה שונה), כך שהוספת ערך חדש דרך מסך הגדרות בלבד (ללא בדיקת קוד מקבילה) הייתה יוצרת מצב מסוכן של סטטוס "יתום" ללא לוגיקה תואמת.</w:t>
      </w:r>
    </w:p>
    <w:p>
      <w:pPr>
        <w:pageBreakBefore/>
      </w:pPr>
    </w:p>
    <w:p>
      <w:pPr>
        <w:pStyle w:val="Heading2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2.12 שלמות נתונים וביצועים — סבב ביקורת שני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/>
          <w:iCs/>
          <w:color w:val="777777"/>
          <w:sz w:val="22"/>
          <w:szCs w:val="22"/>
        </w:rPr>
        <w:t xml:space="preserve">חמישה ממצאים נוספים מביקורת ארכיטקטורה בלתי תלויה שנייה. כל ממצא נבדק מול האפיון העסקי והמימוש הקיים ב-Data Dictionary לפני החלטה.</w:t>
      </w:r>
    </w:p>
    <w:p>
      <w:pPr>
        <w:pStyle w:val="Heading3"/>
        <w:bidi/>
        <w:spacing w:after="90" w:before="200"/>
        <w:jc w:val="right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2.12.1 Recommended Indexes — אושר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אומת: אין במסמך התייחסות לאינדקסים, בעוד ש-NFR (חלק ב׳) קובע יעדי זמן תגובה קונקרטיים (NFR-001 עד NFR-008) שאינם ברי-השגה ללא אינדוקס נכון. זהו פער אמיתי בין יעד ביצועים מוצהר לבין תמיכה טכנית בו.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200"/>
      </w:tblGrid>
      <w:tr>
        <w:trPr>
          <w:tblHeader/>
        </w:trPr>
        <w:tc>
          <w:tcPr>
            <w:tcW w:type="dxa" w:w="24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טבלה</w:t>
            </w:r>
          </w:p>
        </w:tc>
        <w:tc>
          <w:tcPr>
            <w:tcW w:type="dxa" w:w="36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אינדקס מומלץ</w:t>
            </w:r>
          </w:p>
        </w:tc>
        <w:tc>
          <w:tcPr>
            <w:tcW w:type="dxa" w:w="32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תומך ב-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batches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(item_id, expiry_date_closed, status, site_id)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בחירת FEFO (פרק 9), NFR-001</w:t>
            </w:r>
          </w:p>
        </w:tc>
      </w:tr>
      <w:tr>
        <w:tc>
          <w:tcPr>
            <w:tcW w:type="dxa" w:w="2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inventory_movements</w:t>
            </w:r>
          </w:p>
        </w:tc>
        <w:tc>
          <w:tcPr>
            <w:tcW w:type="dxa" w:w="36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(batch_id, performed_at)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עקיבות/היסטוריית אצווה (פרק 14)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batch_consumption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(parent_batch_id), (component_batch_id)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עץ עקיבות דו-כיווני, סימולציית ריקול (UAT-08/09), NFR-005</w:t>
            </w:r>
          </w:p>
        </w:tc>
      </w:tr>
      <w:tr>
        <w:tc>
          <w:tcPr>
            <w:tcW w:type="dxa" w:w="2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goods_receipts</w:t>
            </w:r>
          </w:p>
        </w:tc>
        <w:tc>
          <w:tcPr>
            <w:tcW w:type="dxa" w:w="36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(supplier_id, received_at)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חישוב Supplier Scorecard (פרק 21)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integration_sync_log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(status, retry_count, synced_at)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תור Retry לסנכרון Priority (API Spec 5.4)</w:t>
            </w:r>
          </w:p>
        </w:tc>
      </w:tr>
      <w:tr>
        <w:tc>
          <w:tcPr>
            <w:tcW w:type="dxa" w:w="2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quality_deviations</w:t>
            </w:r>
          </w:p>
        </w:tc>
        <w:tc>
          <w:tcPr>
            <w:tcW w:type="dxa" w:w="36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(related_batch_id, status)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קישור CAPA/עקיבות (פרקים 15, 17)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workflow_tasks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(assigned_user_id, status), (assigned_role_id, status)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מסך "המשימות שלי" (פרק 24)</w:t>
            </w:r>
          </w:p>
        </w:tc>
      </w:tr>
      <w:tr>
        <w:tc>
          <w:tcPr>
            <w:tcW w:type="dxa" w:w="24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audit_log</w:t>
            </w:r>
          </w:p>
        </w:tc>
        <w:tc>
          <w:tcPr>
            <w:tcW w:type="dxa" w:w="36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(entity_type, entity_id), (performed_by, performed_at)</w:t>
            </w:r>
          </w:p>
        </w:tc>
        <w:tc>
          <w:tcPr>
            <w:tcW w:type="dxa" w:w="32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שאילתות Audit Trail (חלק ה׳)</w:t>
            </w:r>
          </w:p>
        </w:tc>
      </w:tr>
    </w:tbl>
    <w:p>
      <w:pPr>
        <w:spacing w:after="160"/>
      </w:pPr>
    </w:p>
    <w:p>
      <w:pPr>
        <w:pStyle w:val="Heading3"/>
        <w:bidi/>
        <w:spacing w:after="90" w:before="200"/>
        <w:jc w:val="right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2.12.2 Unique Constraints — אושר, עם תיקון הנדסי אחד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אומת: רוב האילוצים המוצעים אכן חסרים באופן מפורש. חריג אחד: עבור product_allergen_profile, האילוץ הנכון הוא (product_item_id, allergen_id) בלבד — זהה ל-PK המורכב שכבר קיים — ולא כולל contact_type; הוספת contact_type למפתח הייחודי הייתה מאפשרת בטעות שתי רשומות לאותו צירוף מוצר-אלרגן עם קביעות סותרות ("מכיל" ו-"עלול להכיל" בו-זמנית), מה שסותר את העיקרון הבסיסי שהוגדר בפרק 6.5 באפיון (קביעה אחת חד-משמעית לכל צירוף).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3600"/>
      </w:tblGrid>
      <w:tr>
        <w:trPr>
          <w:tblHeader/>
        </w:trPr>
        <w:tc>
          <w:tcPr>
            <w:tcW w:type="dxa" w:w="26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טבלה</w:t>
            </w:r>
          </w:p>
        </w:tc>
        <w:tc>
          <w:tcPr>
            <w:tcW w:type="dxa" w:w="30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Unique Constraint</w:t>
            </w:r>
          </w:p>
        </w:tc>
        <w:tc>
          <w:tcPr>
            <w:tcW w:type="dxa" w:w="3600"/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נימוק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items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(item_name, site_id)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מניעת שם פריט כפול באותו אתר</w:t>
            </w:r>
          </w:p>
        </w:tc>
      </w:tr>
      <w:tr>
        <w:tc>
          <w:tcPr>
            <w:tcW w:type="dxa" w:w="26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batches</w:t>
            </w:r>
          </w:p>
        </w:tc>
        <w:tc>
          <w:tcPr>
            <w:tcW w:type="dxa" w:w="30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(item_id, batch_number, site_id)</w:t>
            </w:r>
          </w:p>
        </w:tc>
        <w:tc>
          <w:tcPr>
            <w:tcW w:type="dxa" w:w="36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מניעת מספר אצווה כפול לאותו פריט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roles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(role_name)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מניעת הגדרת תפקיד כפולה</w:t>
            </w:r>
          </w:p>
        </w:tc>
      </w:tr>
      <w:tr>
        <w:tc>
          <w:tcPr>
            <w:tcW w:type="dxa" w:w="26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document_versions</w:t>
            </w:r>
          </w:p>
        </w:tc>
        <w:tc>
          <w:tcPr>
            <w:tcW w:type="dxa" w:w="30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(document_id, version_number)</w:t>
            </w:r>
          </w:p>
        </w:tc>
        <w:tc>
          <w:tcPr>
            <w:tcW w:type="dxa" w:w="36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מניעת מספר גרסה כפול לאותו מסמך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item_allergens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(item_id, allergen_id)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כבר נאכף במלואו כ-PK מורכב קיים — ללא שינוי נדרש</w:t>
            </w:r>
          </w:p>
        </w:tc>
      </w:tr>
      <w:tr>
        <w:tc>
          <w:tcPr>
            <w:tcW w:type="dxa" w:w="26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product_allergen_profile</w:t>
            </w:r>
          </w:p>
        </w:tc>
        <w:tc>
          <w:tcPr>
            <w:tcW w:type="dxa" w:w="30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(product_item_id, allergen_id)</w:t>
            </w:r>
          </w:p>
        </w:tc>
        <w:tc>
          <w:tcPr>
            <w:tcW w:type="dxa" w:w="3600"/>
            <w:shd w:fill="F2F6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כבר נאכף כ-PK מורכב קיים; contact_type הוצא מהמפתח (ראו נימוק לעיל)</w:t>
            </w:r>
          </w:p>
        </w:tc>
      </w:tr>
    </w:tbl>
    <w:p>
      <w:pPr>
        <w:spacing w:after="160"/>
      </w:pPr>
    </w:p>
    <w:p>
      <w:pPr>
        <w:pStyle w:val="Heading3"/>
        <w:bidi/>
        <w:spacing w:after="90" w:before="200"/>
        <w:jc w:val="right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2.12.3 Inventory Movement Idempotency — אושר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אומת: inventory_movements אכן חסרה הגנת-כפילות ברמת מסד הנתונים. שכבת ה-Idempotency-Key ב-API (חלק ג׳, פרק 3.3) מונעת יצירת בקשה כפולה, אך אינה מגנה מפני באג פנימי באפליקציה שכותב שתי רשומות תנועה עבור אותו אירוע מקור. נדרשת הגנה כפולה (Defense in Depth).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UNIQUE constraint על inventory_movements: (source_entity_type, source_entity_id, movement_type) — מונע רישום כפול של אותה תנועה מאותו אירוע עסקי מקור.</w:t>
      </w:r>
    </w:p>
    <w:p>
      <w:pPr>
        <w:pStyle w:val="Heading3"/>
        <w:bidi/>
        <w:spacing w:after="90" w:before="200"/>
        <w:jc w:val="right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2.12.4 Cross-Site Data Integrity — אושר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אומת: הוספת site_id (סבב ביקורת קודם) יצרה סיכון חדש שלא טופל — אין כלל המונע קישור FK בין ישויות משני אתרים שונים (למשל אצווה מאתר א׳ עם מיקום אחסון מאתר ב׳), מה שהיה הופך את site_id לקישוט בלבד.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עיקרון: כל FK בין שתי ישויות תפעוליות (למשל batches.current_location_id → storage_locations) חייב לקשר רשומות באותו site_id בלבד. נאכף ברמת שכבת האפליקציה (בדיקת תאימות site_id לפני כל כתיבה) ומומלץ להשלים באילוץ DB מורכב (Composite Foreign Key הכולל site_id בשני הצדדים) היכן שהטכנולוגיה הנבחרת תומכת בכך.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חריג מוגדר: משתמשים עם site_id = NULL (מנהל מערכת, מנהל ייצור — תפקידים חוצי-מחלקה לפי פרק 25.1 באפיון — ראו 2.1) הם "חוצי-אתר" במפורש, ורשאים לגשת/לפעול מול ישויות מכל site_id, בהתאם להרשאתם (RBAC Matrix, חלק ד׳).</w:t>
      </w:r>
    </w:p>
    <w:p>
      <w:pPr>
        <w:pStyle w:val="Heading3"/>
        <w:bidi/>
        <w:spacing w:after="90" w:before="200"/>
        <w:jc w:val="right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2.12.5 Soft Delete / Inactive Policy — אושר</w:t>
      </w: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אומת: העיקרון קיים בפועל אך מפוזר כ-Validation Rules נפרדים בכל פרק עסקי בנפרד (למשל פרק 4.6: "לא ניתן להשבית פריט בשימוש פעיל"; פרק 25.6 למשתמשים) — ללא ניסוח טכני מאוחד ברמת מסד הנתונים. ריכוז העיקרון מבהיר לצוות הפיתוח שמדובר בדפוס עיצוב אחיד, לא בכללים נפרדים במקרה.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עיקרון מאוחד: לישויות "אב" הבאות — items, suppliers, users, storage_locations, documents, assets — אין מחיקה פיזית (DELETE) לאחר שהרשומה שימשה בתהליך עסקי כלשהו. הפעולה היחידה הזמינה היא status = inactive.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rPr>
          <w:rFonts w:ascii="Arial" w:cs="Arial" w:eastAsia="Arial" w:hAnsi="Arial"/>
          <w:sz w:val="22"/>
          <w:szCs w:val="22"/>
        </w:rPr>
        <w:t xml:space="preserve">מחיקה פיזית מותרת אך ורק לרשומת טיוטה (draft) שמעולם לא פורסמה/אושרה/שימשה בתהליך — לדוגמה BOM בסטטוס draft שטרם אושר.</w:t>
      </w:r>
    </w:p>
    <w:p>
      <w:pPr>
        <w:spacing w:after="300"/>
      </w:pPr>
    </w:p>
    <w:p>
      <w:pPr>
        <w:bidi/>
        <w:spacing w:after="140" w:line="300"/>
        <w:jc w:val="right"/>
      </w:pPr>
      <w:r>
        <w:rPr>
          <w:rFonts w:ascii="Arial" w:cs="Arial" w:eastAsia="Arial" w:hAnsi="Arial"/>
          <w:b w:val="false"/>
          <w:bCs w:val="false"/>
          <w:i/>
          <w:iCs/>
          <w:color w:val="888888"/>
          <w:sz w:val="22"/>
          <w:szCs w:val="22"/>
        </w:rPr>
        <w:t xml:space="preserve">סוף חלק א׳ (ERD ו-Data Dictionary) — גרסה סופית לאחר שני סבבי ביקורת ארכיטקטורה בלתי תלויה. החלקים הבאים בשכבת העיצוב הטכני — NFR (מאושר), API Specification, RBAC Matrix, Audit Trail, UAT, Architecture — יעודכנו במחזורי הביקורת הבאים, כל אחד בנפרד.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50ba3fd84557718465657ee58ea9aaa9d9d04fc.png"/><Relationship Id="rId8" Type="http://schemas.openxmlformats.org/officeDocument/2006/relationships/image" Target="media/01d71b40e1e0f522941258d65e1fecd522d8a890.png"/><Relationship Id="rId9" Type="http://schemas.openxmlformats.org/officeDocument/2006/relationships/image" Target="media/d0a33d92007aa5b210cfc61134748e236074b3e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עיצוב טכני - ERD ו-Data Dictionary</dc:title>
  <dc:creator>עיצוב טכני</dc:creator>
  <cp:lastModifiedBy>Un-named</cp:lastModifiedBy>
  <cp:revision>1</cp:revision>
  <dcterms:created xsi:type="dcterms:W3CDTF">2026-07-07T09:07:37.706Z</dcterms:created>
  <dcterms:modified xsi:type="dcterms:W3CDTF">2026-07-07T09:07:37.715Z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