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F4E79"/>
          <w:sz w:val="38"/>
          <w:szCs w:val="38"/>
        </w:rPr>
        <w:t xml:space="preserve">Consistency Report</w:t>
      </w:r>
    </w:p>
    <w:p>
      <w:pPr>
        <w:spacing w:after="100"/>
        <w:jc w:val="center"/>
      </w:pPr>
      <w:r>
        <w:rPr>
          <w:rFonts w:ascii="Arial" w:cs="Arial" w:eastAsia="Arial" w:hAnsi="Arial"/>
          <w:b/>
          <w:bCs/>
          <w:color w:val="2E75B6"/>
          <w:sz w:val="26"/>
          <w:szCs w:val="26"/>
        </w:rPr>
        <w:t xml:space="preserve">בדיקת עקביות מלאה — כלל מסמכי הפרויקט</w:t>
      </w:r>
    </w:p>
    <w:p>
      <w:pPr>
        <w:spacing w:after="300"/>
        <w:jc w:val="center"/>
      </w:pPr>
      <w:r>
        <w:rPr>
          <w:rFonts w:ascii="Arial" w:cs="Arial" w:eastAsia="Arial" w:hAnsi="Arial"/>
          <w:b/>
          <w:bCs/>
          <w:color w:val="1F7A3D"/>
          <w:sz w:val="22"/>
          <w:szCs w:val="22"/>
        </w:rPr>
        <w:t xml:space="preserve">לקראת הכרזת Baseline v1.0 (כלל מסמכי הפרויקט)</w:t>
      </w:r>
    </w:p>
    <w:p>
      <w:pPr>
        <w:spacing w:after="700"/>
        <w:jc w:val="center"/>
      </w:pPr>
      <w:r>
        <w:rPr>
          <w:rFonts w:ascii="Arial" w:cs="Arial" w:eastAsia="Arial" w:hAnsi="Arial"/>
          <w:sz w:val="22"/>
          <w:szCs w:val="22"/>
        </w:rPr>
        <w:t xml:space="preserve">תאריך: 07/07/2026</w:t>
      </w:r>
    </w:p>
    <w:p>
      <w:pPr>
        <w:spacing w:after="700"/>
        <w:jc w:val="center"/>
      </w:pPr>
      <w:r>
        <w:rPr>
          <w:rFonts w:ascii="Arial" w:cs="Arial" w:eastAsia="Arial" w:hAnsi="Arial"/>
          <w:i/>
          <w:iCs/>
          <w:color w:val="666666"/>
          <w:sz w:val="20"/>
          <w:szCs w:val="20"/>
        </w:rPr>
        <w:t xml:space="preserve">מסמך זה מתעד בדיקת עקביות שיטתית בין Business Specification v2.1 לבין כל שבעת מסמכי ה-Technical Design (ERD/Data Dictionary, NFR, API Specification, RBAC Matrix, Audit Trail, UAT, Architecture). לא בוצעו שינויי ארכיטקטורה ולא נוספו דרישות חדשות — רק תיקוני עקביות, בדיוק כפי שהתבקש.</w:t>
      </w:r>
    </w:p>
    <w:p>
      <w:pPr>
        <w:pageBreakBefore/>
      </w:pPr>
    </w:p>
    <w:p>
      <w:pPr>
        <w:pStyle w:val="Heading1"/>
        <w:bidi/>
        <w:spacing w:after="160" w:before="320"/>
        <w:jc w:val="right"/>
      </w:pPr>
      <w:r>
        <w:rPr>
          <w:rFonts w:ascii="Arial" w:cs="Arial" w:eastAsia="Arial" w:hAnsi="Arial"/>
          <w:b/>
          <w:bCs/>
          <w:color w:val="1F4E79"/>
          <w:sz w:val="28"/>
          <w:szCs w:val="28"/>
        </w:rPr>
        <w:t xml:space="preserve">1. מתודולוגיה</w:t>
      </w:r>
    </w:p>
    <w:p>
      <w:pPr>
        <w:bidi/>
        <w:spacing w:after="140" w:line="300"/>
        <w:jc w:val="right"/>
      </w:pPr>
      <w:r>
        <w:rPr>
          <w:rFonts w:ascii="Arial" w:cs="Arial" w:eastAsia="Arial" w:hAnsi="Arial"/>
          <w:b w:val="false"/>
          <w:bCs w:val="false"/>
          <w:i w:val="false"/>
          <w:iCs w:val="false"/>
          <w:sz w:val="22"/>
          <w:szCs w:val="22"/>
        </w:rPr>
        <w:t xml:space="preserve">הבדיקה בוצעה בשני שלבים: (א) איתור תוכנית — עבור כל אחת מ-6 ההחלטות שנוספו/עודכנו ב-Business Specification v2.1, נבדק תכנותית (grep על קבצי המקור) האם ומהיכן ההחלטה מוזכרת בכל אחד מ-7 מסמכי ה-Technical Design; (ב) עבור כל פער אמיתי שנמצא, בוצע תיקון ממוקד — הרחבת ניסוח, הוספת שדה, או הערת הבהרה — ולא הרחבת היקף. בנוסף בוצעו בדיקות שלמות מבניות (ספירת ישויות, ספירת תרחישי UAT, ספירת פעולות קריטיות) לפני ואחרי, לוודא שלא נוצרו כפילויות או פערים חדשים.</w:t>
      </w:r>
    </w:p>
    <w:p>
      <w:pPr>
        <w:pStyle w:val="Heading1"/>
        <w:bidi/>
        <w:spacing w:after="160" w:before="320"/>
        <w:jc w:val="right"/>
      </w:pPr>
      <w:r>
        <w:rPr>
          <w:rFonts w:ascii="Arial" w:cs="Arial" w:eastAsia="Arial" w:hAnsi="Arial"/>
          <w:b/>
          <w:bCs/>
          <w:color w:val="1F4E79"/>
          <w:sz w:val="28"/>
          <w:szCs w:val="28"/>
        </w:rPr>
        <w:t xml:space="preserve">2. ממצאים ותיקונים</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800"/>
        <w:gridCol w:w="2400"/>
        <w:gridCol w:w="2600"/>
      </w:tblGrid>
      <w:tr>
        <w:trPr>
          <w:tblHeader/>
        </w:trPr>
        <w:tc>
          <w:tcPr>
            <w:tcW w:type="dxa" w:w="4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w:t>
            </w:r>
          </w:p>
        </w:tc>
        <w:tc>
          <w:tcPr>
            <w:tcW w:type="dxa" w:w="26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החלטה (Business Spec v2.1)</w:t>
            </w:r>
          </w:p>
        </w:tc>
        <w:tc>
          <w:tcPr>
            <w:tcW w:type="dxa" w:w="18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מסמך מושפע</w:t>
            </w:r>
          </w:p>
        </w:tc>
        <w:tc>
          <w:tcPr>
            <w:tcW w:type="dxa" w:w="24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ממצא</w:t>
            </w:r>
          </w:p>
        </w:tc>
        <w:tc>
          <w:tcPr>
            <w:tcW w:type="dxa" w:w="26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תיקון שבוצע</w:t>
            </w:r>
          </w:p>
        </w:tc>
      </w:tr>
      <w:tr>
        <w:tc>
          <w:tcPr>
            <w:tcW w:type="dxa" w:w="4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1</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Blast Chiller + מקרר מזון מוכן + מעבר אחריות</w:t>
            </w:r>
          </w:p>
        </w:tc>
        <w:tc>
          <w:tcPr>
            <w:tcW w:type="dxa" w:w="18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ERD/Data Dictionary</w:t>
            </w:r>
          </w:p>
        </w:tc>
        <w:tc>
          <w:tcPr>
            <w:tcW w:type="dxa" w:w="24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location_type ב-storage_locations לא כלל את שני המיקומים החדשים כלל</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נוספו 'blast_chiller' ו-'ready_food_fridge' ל-ENUM, עם הערת הבהרה קצרה (ללא שינוי סכימת batches)</w:t>
            </w:r>
          </w:p>
        </w:tc>
      </w:tr>
      <w:tr>
        <w:tc>
          <w:tcPr>
            <w:tcW w:type="dxa" w:w="4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2</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FEFO — אזהרה + אישור מורשה בלבד</w:t>
            </w:r>
          </w:p>
        </w:tc>
        <w:tc>
          <w:tcPr>
            <w:tcW w:type="dxa" w:w="18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RBAC Matrix</w:t>
            </w:r>
          </w:p>
        </w:tc>
        <w:tc>
          <w:tcPr>
            <w:tcW w:type="dxa" w:w="24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אין שום אזכור FEFO במסמך; לא היה ברור איזו הרשאה קיימת מכסה את אישור החריגה</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נוספה הערה במודול 2.3 המקשרת בין הרשאת ה-Approve (A) הקיימת של מנהל ייצור לבין אישור חריגת FEFO — ללא הרשאה/שורה חדשה</w:t>
            </w:r>
          </w:p>
        </w:tc>
      </w:tr>
      <w:tr>
        <w:tc>
          <w:tcPr>
            <w:tcW w:type="dxa" w:w="4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3</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Recall מהיצרן (טריגר חיצוני, נבדל מחריגה פנימית)</w:t>
            </w:r>
          </w:p>
        </w:tc>
        <w:tc>
          <w:tcPr>
            <w:tcW w:type="dxa" w:w="18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UAT</w:t>
            </w:r>
          </w:p>
        </w:tc>
        <w:tc>
          <w:tcPr>
            <w:tcW w:type="dxa" w:w="24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UAT-09 קיים אך מנוסח כ"פגם שהתגלה" (טריגר פנימי) ולא כ"הודעת Recall מהיצרן" (טריגר חיצוני) כפי שהובחן כעת בפרק 14.5 באפיון</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עודכן ניסוח UAT-09 (כותרת, data, steps, expected) לשקף במפורש טריגר חיצוני; נוסף צעד אימות שהאצוות ננעלות בהסגר אוטומטית</w:t>
            </w:r>
          </w:p>
        </w:tc>
      </w:tr>
      <w:tr>
        <w:tc>
          <w:tcPr>
            <w:tcW w:type="dxa" w:w="4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4</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קבלת סחורה — סריקה ושליפה אוטומטית</w:t>
            </w:r>
          </w:p>
        </w:tc>
        <w:tc>
          <w:tcPr>
            <w:tcW w:type="dxa" w:w="18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API Specification</w:t>
            </w:r>
          </w:p>
        </w:tc>
        <w:tc>
          <w:tcPr>
            <w:tcW w:type="dxa" w:w="24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דוגמת ה-Payload בסעיף 4.1 משקפת הזנה ידנית מלאה בלבד, ללא כל אזכור לתהליך הסריקה שנקבע באפיון</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נוספה הערה מבהירה לפני הדוגמה: ה-Payload משקף את מבנה הנתונים הסופי; תהליך השליפה האוטומטית עצמו טרם אופיין ברמת ה-API (תלוי בהחלטת ארכיטקטורה פתוחה)</w:t>
            </w:r>
          </w:p>
        </w:tc>
      </w:tr>
      <w:tr>
        <w:tc>
          <w:tcPr>
            <w:tcW w:type="dxa" w:w="4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5</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קבלת סחורה — סריקה ושליפה אוטומטית</w:t>
            </w:r>
          </w:p>
        </w:tc>
        <w:tc>
          <w:tcPr>
            <w:tcW w:type="dxa" w:w="18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Architecture</w:t>
            </w:r>
          </w:p>
        </w:tc>
        <w:tc>
          <w:tcPr>
            <w:tcW w:type="dxa" w:w="24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אין באדריכלות שום אזכור ליכולת OCR/סריקת מסמכים הנדרשת כעת באפיון</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נוסף פריט פתוח מפורש (סעיף 9.1): הדרישה העסקית מאושרת, אך הטכנולוגיה הספציפית (OCR/הבנת מסמכים) לא הוכרעה במכוון — ממתינה ל-ADR נפרד, לא הומצאה</w:t>
            </w:r>
          </w:p>
        </w:tc>
      </w:tr>
      <w:tr>
        <w:tc>
          <w:tcPr>
            <w:tcW w:type="dxa" w:w="4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6</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טרמינולוגיה מאוחדת (מלאי בסיס וכו')</w:t>
            </w:r>
          </w:p>
        </w:tc>
        <w:tc>
          <w:tcPr>
            <w:tcW w:type="dxa" w:w="18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כל 7 מסמכי Technical Design</w:t>
            </w:r>
          </w:p>
        </w:tc>
        <w:tc>
          <w:tcPr>
            <w:tcW w:type="dxa" w:w="24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נבדק — אין אזכור של המונח הישן "מלאי בסיסי" בשום מסמך טכני; אין סתירה</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לא נדרש תיקון</w:t>
            </w:r>
          </w:p>
        </w:tc>
      </w:tr>
    </w:tbl>
    <w:p>
      <w:pPr>
        <w:spacing w:after="120"/>
      </w:pPr>
    </w:p>
    <w:p>
      <w:pPr>
        <w:pStyle w:val="Heading1"/>
        <w:bidi/>
        <w:spacing w:after="160" w:before="320"/>
        <w:jc w:val="right"/>
      </w:pPr>
      <w:r>
        <w:rPr>
          <w:rFonts w:ascii="Arial" w:cs="Arial" w:eastAsia="Arial" w:hAnsi="Arial"/>
          <w:b/>
          <w:bCs/>
          <w:color w:val="1F4E79"/>
          <w:sz w:val="28"/>
          <w:szCs w:val="28"/>
        </w:rPr>
        <w:t xml:space="preserve">3. בדיקות שלמות מבניות (לפני/אחרי, ללא שינוי)</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gridCol w:w="1600"/>
      </w:tblGrid>
      <w:tr>
        <w:trPr>
          <w:tblHeader/>
        </w:trPr>
        <w:tc>
          <w:tcPr>
            <w:tcW w:type="dxa" w:w="30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מדד</w:t>
            </w:r>
          </w:p>
        </w:tc>
        <w:tc>
          <w:tcPr>
            <w:tcW w:type="dxa" w:w="26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לפני הבדיקה</w:t>
            </w:r>
          </w:p>
        </w:tc>
        <w:tc>
          <w:tcPr>
            <w:tcW w:type="dxa" w:w="26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אחרי הבדיקה</w:t>
            </w:r>
          </w:p>
        </w:tc>
        <w:tc>
          <w:tcPr>
            <w:tcW w:type="dxa" w:w="16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סטטוס</w:t>
            </w:r>
          </w:p>
        </w:tc>
      </w:tr>
      <w:tr>
        <w:tc>
          <w:tcPr>
            <w:tcW w:type="dxa" w:w="30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פרקי Business Specification</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27</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27</w:t>
            </w:r>
          </w:p>
        </w:tc>
        <w:tc>
          <w:tcPr>
            <w:tcW w:type="dxa" w:w="1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ללא שינוי ✓</w:t>
            </w:r>
          </w:p>
        </w:tc>
      </w:tr>
      <w:tr>
        <w:tc>
          <w:tcPr>
            <w:tcW w:type="dxa" w:w="30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דרישות FR (Business Spec)</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135 (FR-051 עד FR-185)</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135 (FR-051 עד FR-185)</w:t>
            </w:r>
          </w:p>
        </w:tc>
        <w:tc>
          <w:tcPr>
            <w:tcW w:type="dxa" w:w="1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ללא שינוי ✓ — לא נוסף/הוסר אף FR</w:t>
            </w:r>
          </w:p>
        </w:tc>
      </w:tr>
      <w:tr>
        <w:tc>
          <w:tcPr>
            <w:tcW w:type="dxa" w:w="30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ישויות ERD/Data Dictionary</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45</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45</w:t>
            </w:r>
          </w:p>
        </w:tc>
        <w:tc>
          <w:tcPr>
            <w:tcW w:type="dxa" w:w="1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ללא שינוי ✓</w:t>
            </w:r>
          </w:p>
        </w:tc>
      </w:tr>
      <w:tr>
        <w:tc>
          <w:tcPr>
            <w:tcW w:type="dxa" w:w="30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תרחישי UAT</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24</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24 (UAT-09 עודכן בניסוחו בלבד)</w:t>
            </w:r>
          </w:p>
        </w:tc>
        <w:tc>
          <w:tcPr>
            <w:tcW w:type="dxa" w:w="1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ללא שינוי במספר/מספור ✓</w:t>
            </w:r>
          </w:p>
        </w:tc>
      </w:tr>
      <w:tr>
        <w:tc>
          <w:tcPr>
            <w:tcW w:type="dxa" w:w="30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פעולות קריטיות RBAC/Audit Trail</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14 = 14 (זהות בין המסמכים)</w:t>
            </w:r>
          </w:p>
        </w:tc>
        <w:tc>
          <w:tcPr>
            <w:tcW w:type="dxa" w:w="2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14 = 14</w:t>
            </w:r>
          </w:p>
        </w:tc>
        <w:tc>
          <w:tcPr>
            <w:tcW w:type="dxa" w:w="16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ללא שינוי, עדיין תואם ✓</w:t>
            </w:r>
          </w:p>
        </w:tc>
      </w:tr>
      <w:tr>
        <w:tc>
          <w:tcPr>
            <w:tcW w:type="dxa" w:w="30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הפניות "פרק X" שבורות (Business Spec)</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0</w:t>
            </w:r>
          </w:p>
        </w:tc>
        <w:tc>
          <w:tcPr>
            <w:tcW w:type="dxa" w:w="2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0</w:t>
            </w:r>
          </w:p>
        </w:tc>
        <w:tc>
          <w:tcPr>
            <w:tcW w:type="dxa" w:w="16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ללא שינוי ✓</w:t>
            </w:r>
          </w:p>
        </w:tc>
      </w:tr>
    </w:tbl>
    <w:p>
      <w:pPr>
        <w:spacing w:after="120"/>
      </w:pPr>
    </w:p>
    <w:p>
      <w:pPr>
        <w:pStyle w:val="Heading1"/>
        <w:bidi/>
        <w:spacing w:after="160" w:before="320"/>
        <w:jc w:val="right"/>
      </w:pPr>
      <w:r>
        <w:rPr>
          <w:rFonts w:ascii="Arial" w:cs="Arial" w:eastAsia="Arial" w:hAnsi="Arial"/>
          <w:b/>
          <w:bCs/>
          <w:color w:val="1F4E79"/>
          <w:sz w:val="28"/>
          <w:szCs w:val="28"/>
        </w:rPr>
        <w:t xml:space="preserve">4. מסמכים שלא נדרש בהם שינוי</w:t>
      </w:r>
    </w:p>
    <w:p>
      <w:pPr>
        <w:bidi/>
        <w:spacing w:after="140" w:line="300"/>
        <w:jc w:val="right"/>
      </w:pPr>
      <w:r>
        <w:rPr>
          <w:rFonts w:ascii="Arial" w:cs="Arial" w:eastAsia="Arial" w:hAnsi="Arial"/>
          <w:b w:val="false"/>
          <w:bCs w:val="false"/>
          <w:i w:val="false"/>
          <w:iCs w:val="false"/>
          <w:sz w:val="22"/>
          <w:szCs w:val="22"/>
        </w:rPr>
        <w:t xml:space="preserve">נבדקו ולא נמצא בהם פער הדורש תיקון ביחס להחלטות v2.1: NFR, Audit Trail, Project Implementation Plan. חלקם (Audit Trail) כבר מכסים את הישויות/הפעולות הרלוונטיות דרך מנגנונים גנריים קיימים (למשל, שינויי batches/storage_locations כבר בטבלת ה-Scope הכללית, ללא צורך בשורה ייעודית לכל location_type חדש).</w:t>
      </w:r>
    </w:p>
    <w:p>
      <w:pPr>
        <w:pStyle w:val="Heading1"/>
        <w:bidi/>
        <w:spacing w:after="160" w:before="320"/>
        <w:jc w:val="right"/>
      </w:pPr>
      <w:r>
        <w:rPr>
          <w:rFonts w:ascii="Arial" w:cs="Arial" w:eastAsia="Arial" w:hAnsi="Arial"/>
          <w:b/>
          <w:bCs/>
          <w:color w:val="1F4E79"/>
          <w:sz w:val="28"/>
          <w:szCs w:val="28"/>
        </w:rPr>
        <w:t xml:space="preserve">5. מסמכים שעודכנו בפועל בסבב זה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00"/>
      </w:tblGrid>
      <w:tr>
        <w:trPr>
          <w:tblHeader/>
        </w:trPr>
        <w:tc>
          <w:tcPr>
            <w:tcW w:type="dxa" w:w="5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w:t>
            </w:r>
          </w:p>
        </w:tc>
        <w:tc>
          <w:tcPr>
            <w:tcW w:type="dxa" w:w="32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מסמך</w:t>
            </w:r>
          </w:p>
        </w:tc>
        <w:tc>
          <w:tcPr>
            <w:tcW w:type="dxa" w:w="5300"/>
            <w:shd w:fill="1F4E79" w:val="clear"/>
            <w:tcMar>
              <w:top w:type="dxa" w:w="60"/>
              <w:left w:type="dxa" w:w="90"/>
              <w:bottom w:type="dxa" w:w="60"/>
              <w:right w:type="dxa" w:w="90"/>
            </w:tcMar>
            <w:vAlign w:val="center"/>
          </w:tcPr>
          <w:p>
            <w:pPr>
              <w:bidi/>
              <w:spacing w:after="0"/>
              <w:jc w:val="right"/>
            </w:pPr>
            <w:r>
              <w:rPr>
                <w:rFonts w:ascii="Arial" w:cs="Arial" w:eastAsia="Arial" w:hAnsi="Arial"/>
                <w:b/>
                <w:bCs/>
                <w:color w:val="FFFFFF"/>
                <w:sz w:val="19"/>
                <w:szCs w:val="19"/>
              </w:rPr>
              <w:t xml:space="preserve">היקף השינוי</w:t>
            </w:r>
          </w:p>
        </w:tc>
      </w:tr>
      <w:tr>
        <w:tc>
          <w:tcPr>
            <w:tcW w:type="dxa" w:w="5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1</w:t>
            </w:r>
          </w:p>
        </w:tc>
        <w:tc>
          <w:tcPr>
            <w:tcW w:type="dxa" w:w="32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ERD / Data Dictionary</w:t>
            </w:r>
          </w:p>
        </w:tc>
        <w:tc>
          <w:tcPr>
            <w:tcW w:type="dxa" w:w="53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שורה אחת ב-ENUM + הערת הבהרה קצרה</w:t>
            </w:r>
          </w:p>
        </w:tc>
      </w:tr>
      <w:tr>
        <w:tc>
          <w:tcPr>
            <w:tcW w:type="dxa" w:w="5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2</w:t>
            </w:r>
          </w:p>
        </w:tc>
        <w:tc>
          <w:tcPr>
            <w:tcW w:type="dxa" w:w="32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RBAC Matrix</w:t>
            </w:r>
          </w:p>
        </w:tc>
        <w:tc>
          <w:tcPr>
            <w:tcW w:type="dxa" w:w="53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הערת הבהרה אחת במודול קיים</w:t>
            </w:r>
          </w:p>
        </w:tc>
      </w:tr>
      <w:tr>
        <w:tc>
          <w:tcPr>
            <w:tcW w:type="dxa" w:w="5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3</w:t>
            </w:r>
          </w:p>
        </w:tc>
        <w:tc>
          <w:tcPr>
            <w:tcW w:type="dxa" w:w="32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UAT</w:t>
            </w:r>
          </w:p>
        </w:tc>
        <w:tc>
          <w:tcPr>
            <w:tcW w:type="dxa" w:w="53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עדכון ניסוח תרחיש קיים אחד (UAT-09) — ללא שינוי מספור</w:t>
            </w:r>
          </w:p>
        </w:tc>
      </w:tr>
      <w:tr>
        <w:tc>
          <w:tcPr>
            <w:tcW w:type="dxa" w:w="5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4</w:t>
            </w:r>
          </w:p>
        </w:tc>
        <w:tc>
          <w:tcPr>
            <w:tcW w:type="dxa" w:w="32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API Specification</w:t>
            </w:r>
          </w:p>
        </w:tc>
        <w:tc>
          <w:tcPr>
            <w:tcW w:type="dxa" w:w="5300"/>
            <w:shd w:fill="F2F6FA" w:val="clear"/>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הערת הבהרה אחת לפני דוגמת Payload קיימת</w:t>
            </w:r>
          </w:p>
        </w:tc>
      </w:tr>
      <w:tr>
        <w:tc>
          <w:tcPr>
            <w:tcW w:type="dxa" w:w="5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5</w:t>
            </w:r>
          </w:p>
        </w:tc>
        <w:tc>
          <w:tcPr>
            <w:tcW w:type="dxa" w:w="32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Architecture</w:t>
            </w:r>
          </w:p>
        </w:tc>
        <w:tc>
          <w:tcPr>
            <w:tcW w:type="dxa" w:w="5300"/>
            <w:tcMar>
              <w:top w:type="dxa" w:w="60"/>
              <w:left w:type="dxa" w:w="90"/>
              <w:bottom w:type="dxa" w:w="60"/>
              <w:right w:type="dxa" w:w="90"/>
            </w:tcMar>
            <w:vAlign w:val="center"/>
          </w:tcPr>
          <w:p>
            <w:pPr>
              <w:bidi/>
              <w:spacing w:after="0"/>
              <w:jc w:val="right"/>
            </w:pPr>
            <w:r>
              <w:rPr>
                <w:rFonts w:ascii="Arial" w:cs="Arial" w:eastAsia="Arial" w:hAnsi="Arial"/>
                <w:b w:val="false"/>
                <w:bCs w:val="false"/>
                <w:sz w:val="19"/>
                <w:szCs w:val="19"/>
              </w:rPr>
              <w:t xml:space="preserve">סעיף "פריט פתוח" קצר אחד, ללא החלטה טכנולוגית</w:t>
            </w:r>
          </w:p>
        </w:tc>
      </w:tr>
    </w:tbl>
    <w:p>
      <w:pPr>
        <w:spacing w:after="120"/>
      </w:pPr>
    </w:p>
    <w:p>
      <w:pPr>
        <w:bidi/>
        <w:spacing w:after="140" w:line="300"/>
        <w:jc w:val="right"/>
      </w:pPr>
      <w:r>
        <w:rPr>
          <w:rFonts w:ascii="Arial" w:cs="Arial" w:eastAsia="Arial" w:hAnsi="Arial"/>
          <w:b/>
          <w:bCs/>
          <w:i w:val="false"/>
          <w:iCs w:val="false"/>
          <w:sz w:val="22"/>
          <w:szCs w:val="22"/>
        </w:rPr>
        <w:t xml:space="preserve">בכל חמשת המקרים: לא נוספה ישות, לא נוסף Endpoint, לא נוסף FR, לא נוסף תרחיש UAT חדש, ולא התקבלה החלטת ארכיטקטורה חדשה — אך ורק תיקוני עקביות והבהרה, כפי שהוגדר בהיקף המשימה.</w:t>
      </w:r>
    </w:p>
    <w:p>
      <w:pPr>
        <w:pStyle w:val="Heading1"/>
        <w:bidi/>
        <w:spacing w:after="160" w:before="320"/>
        <w:jc w:val="right"/>
      </w:pPr>
      <w:r>
        <w:rPr>
          <w:rFonts w:ascii="Arial" w:cs="Arial" w:eastAsia="Arial" w:hAnsi="Arial"/>
          <w:b/>
          <w:bCs/>
          <w:color w:val="1F4E79"/>
          <w:sz w:val="28"/>
          <w:szCs w:val="28"/>
        </w:rPr>
        <w:t xml:space="preserve">6. אישור מוכנות לפיתוח</w:t>
      </w:r>
    </w:p>
    <w:p>
      <w:pPr>
        <w:bidi/>
        <w:spacing w:after="140" w:line="300"/>
        <w:jc w:val="right"/>
      </w:pPr>
      <w:r>
        <w:rPr>
          <w:rFonts w:ascii="Arial" w:cs="Arial" w:eastAsia="Arial" w:hAnsi="Arial"/>
          <w:b w:val="false"/>
          <w:bCs w:val="false"/>
          <w:i w:val="false"/>
          <w:iCs w:val="false"/>
          <w:sz w:val="22"/>
          <w:szCs w:val="22"/>
        </w:rPr>
        <w:t xml:space="preserve">כל שבעת מסמכי ה-Technical Design נבדקו מול Business Specification v2.1 ונמצאו עקביים לאחר התיקונים שלעיל. כל בדיקות השלמות המבנית (ספירת פרקים, FR, ישויות, תרחישי UAT, פעולות קריטיות) בוצעו תכנותית ולא באופן ידני, ואישרו שלא נוצרו כפילויות, סתירות, או פערי מספור כתוצאה מהתיקונים.</w:t>
      </w:r>
    </w:p>
    <w:p>
      <w:pPr>
        <w:bidi/>
        <w:spacing w:after="140" w:line="300"/>
        <w:jc w:val="right"/>
      </w:pPr>
      <w:r>
        <w:rPr>
          <w:rFonts w:ascii="Arial" w:cs="Arial" w:eastAsia="Arial" w:hAnsi="Arial"/>
          <w:b/>
          <w:bCs/>
          <w:i w:val="false"/>
          <w:iCs w:val="false"/>
          <w:sz w:val="22"/>
          <w:szCs w:val="22"/>
        </w:rPr>
        <w:t xml:space="preserve">לא נותר ממצא פתוח המונע מעבר לפיתוח.</w:t>
      </w:r>
    </w:p>
    <w:p>
      <w:pPr>
        <w:bidi/>
        <w:spacing w:after="140" w:line="300"/>
        <w:jc w:val="right"/>
      </w:pPr>
      <w:r>
        <w:rPr>
          <w:rFonts w:ascii="Arial" w:cs="Arial" w:eastAsia="Arial" w:hAnsi="Arial"/>
          <w:b/>
          <w:bCs/>
          <w:i w:val="false"/>
          <w:iCs w:val="false"/>
          <w:color w:val="1F7A3D"/>
          <w:sz w:val="22"/>
          <w:szCs w:val="22"/>
        </w:rPr>
        <w:t xml:space="preserve">מאושר: הפרויקט מוכן להכרזת Baseline v1.0 של כלל מסמכי הפרויקט (Business Specification + 7 מסמכי Technical Design), כנקודת ייחוס קפואה לתחילת הפיתוח.</w:t>
      </w:r>
    </w:p>
    <w:p>
      <w:pPr>
        <w:spacing w:after="300"/>
      </w:pPr>
    </w:p>
    <w:p>
      <w:pPr>
        <w:bidi/>
        <w:spacing w:after="140" w:line="300"/>
        <w:jc w:val="right"/>
      </w:pPr>
      <w:r>
        <w:rPr>
          <w:rFonts w:ascii="Arial" w:cs="Arial" w:eastAsia="Arial" w:hAnsi="Arial"/>
          <w:b w:val="false"/>
          <w:bCs w:val="false"/>
          <w:i/>
          <w:iCs/>
          <w:color w:val="888888"/>
          <w:sz w:val="22"/>
          <w:szCs w:val="22"/>
        </w:rPr>
        <w:t xml:space="preserve">סוף Consistency Report.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Consistency Report - Full Project Review</dc:title>
  <dc:creator>ניהול פרויקט</dc:creator>
  <cp:lastModifiedBy>Un-named</cp:lastModifiedBy>
  <cp:revision>1</cp:revision>
  <dcterms:created xsi:type="dcterms:W3CDTF">2026-07-07T09:11:50.128Z</dcterms:created>
  <dcterms:modified xsi:type="dcterms:W3CDTF">2026-07-07T09:11:50.128Z</dcterms:modified>
</cp:coreProperties>
</file>

<file path=docProps/custom.xml><?xml version="1.0" encoding="utf-8"?>
<Properties xmlns="http://schemas.openxmlformats.org/officeDocument/2006/custom-properties" xmlns:vt="http://schemas.openxmlformats.org/officeDocument/2006/docPropsVTypes"/>
</file>