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עיצוב טכני (Technical Design)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חלק ז׳ (אחרון): Architecture</w:t>
      </w:r>
    </w:p>
    <w:p>
      <w:pPr>
        <w:spacing w:after="60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מבנה שכבות, רכיבים, טכנולוגיות וסביבות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גרסה 1.0</w:t>
      </w:r>
    </w:p>
    <w:p>
      <w:pPr>
        <w:spacing w:after="900"/>
        <w:jc w:val="center"/>
      </w:pPr>
      <w:r>
        <w:rPr>
          <w:rFonts w:ascii="Arial" w:cs="Arial" w:eastAsia="Arial" w:hAnsi="Arial"/>
          <w:sz w:val="22"/>
          <w:szCs w:val="22"/>
        </w:rPr>
        <w:t xml:space="preserve">תאריך: 02/07/2026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מסמך זה הוא הפרק המסכם של שכבת ה-Technical Design: הוא מרכיב את חלקים א׳-ו׳ (ERD/Data Dictionary, NFR, API Specification, RBAC Matrix, Audit Trail, UAT) לכדי ארכיטקטורת מערכת אחת קוהרנטית, עם המלצות טכנולוגיה קונקרטיות. כמו במסמכי ה-NFR, המלצות הטכנולוגיה מסומנות כברירת מחדל סבירה (Best Practice), הפתוחה לאישור/שינוי לפי מדיניות IT ותשתית קיימת בארגון.</w:t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עקרונות ארכיטקטורה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ארכיטקטורה מבוססת שכבות (Layered): הפרדה ברורה בין לקוח, Gateway, אפליקציה ונתונים — כל שכבה מוחלפת/משודרגת ללא השפעה על האחרות.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API-First: כל תקשורת בין השכבות (כולל בין Frontend ל-Backend) עוברת דרך ה-API המתועד בחלק ג׳ — אין גישה ישירה של הלקוח למסד הנתונים.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Modular Monolith כארכיטקטורת יעד ראשונית: שירות אפליקציה אחד עם גבולות מודול פנימיים ברורים (תואמים לדומיינים ב-Data Dictionary), הניתן לפיצול עתידי ל-Microservices במידת הצורך (למשל אם מנוע ה-Workflow ידרוש קנה מידה נפרד) — נכון להיקף הארגון (עד 60 משתמשים, NFR-009) זהו האיזון הנכון בין פשטות תפעולית לגמישות.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Cloud-Native: containerization מלא, ניתן לפריסה על כל ספק ענן תומך-Kubernetes, למניעת נעילת ספק (Vendor Lock-in).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Multi-Tenant-Ready מהיום הראשון ברמת מודל הנתונים (ראו פרק 9), גם אם ההפעלה הראשונית היא Single-Site.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תרשים ארכיטקטורה</w:t>
      </w:r>
    </w:p>
    <w:p>
      <w:pPr>
        <w:spacing w:after="160" w:before="160"/>
        <w:jc w:val="center"/>
      </w:pPr>
      <w:r>
        <w:drawing>
          <wp:inline distT="0" distB="0" distL="0" distR="0">
            <wp:extent cx="5334000" cy="597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שכבת לקוח (Frontend)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20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רכיב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טכנולוגיה מומלצת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הערות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אפליקציית Web (דסקטופ)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React + TypeScript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למנהלי תחומים ומנהל מערכת (פרק 25.1 באפיון) — טבלאות מורכבות, דוחות, Dashboard</w:t>
            </w:r>
          </w:p>
        </w:tc>
      </w:tr>
      <w:tr>
        <w:tc>
          <w:tcPr>
            <w:tcW w:type="dxa" w:w="2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אפליקציית טאבלט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PWA (Progressive Web App) מבוססת React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עובד בדפדפן הטאבלט; מאפשר עדכון מהיר ללא חנות אפליקציות; תואם ל-NFR חלק ב׳ פרק 10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ספריית רכיבים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Design System פנימי, מותאם למסכי מגע גדולים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כפפות/סביבת מחסן — כפתורים גדולים, ניגודיות גבוהה</w:t>
            </w:r>
          </w:p>
        </w:tc>
      </w:tr>
      <w:tr>
        <w:tc>
          <w:tcPr>
            <w:tcW w:type="dxa" w:w="2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ניהול מצב (State Management)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React Query / TanStack Query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טיפול מובנה ב-Retry ו-Caching של קריאות API</w:t>
            </w:r>
          </w:p>
        </w:tc>
      </w:tr>
    </w:tbl>
    <w:p>
      <w:pPr>
        <w:spacing w:after="120"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שכבת Edge / Gateway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Load Balancer + CDN: מפזר עומסים ומגיש נכסים סטטיים (JS/CSS/תמונות) קרוב למשתמש.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API Gateway: נקודת כניסה יחידה ל-API (חלק ג׳) — אחראי על: אימות טוקן (JWT/OAuth2), אכיפת Rate Limiting (NFR חלק ב׳ פרק 3, API Spec חלק ג׳ פרק 6), ניתוב לשירות הפנימי המתאים, וסיום חיבורי TLS.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טכנולוגיה מומלצת: Kong / AWS API Gateway / Azure API Management — לפי ספק הענן הנבחר (ראו פרק 11).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שכבת אפליקציה (Backend)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280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רכיב</w:t>
            </w:r>
          </w:p>
        </w:tc>
        <w:tc>
          <w:tcPr>
            <w:tcW w:type="dxa" w:w="38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תפקיד</w:t>
            </w:r>
          </w:p>
        </w:tc>
        <w:tc>
          <w:tcPr>
            <w:tcW w:type="dxa" w:w="28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טכנולוגיה מומלצת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שירותי הליבה העסקיים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מימוש כל ה-Endpoints וכללי העסקים מהאפיון (נתוני אב, ייצור, איכות, מסמכים, ספקים, דיווח)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Node.js (NestJS) או Java (Spring Boot) — שתיהן מתאימות ל-Modular Monolith עם גבולות דומיין ברורים</w:t>
            </w:r>
          </w:p>
        </w:tc>
      </w:tr>
      <w:tr>
        <w:tc>
          <w:tcPr>
            <w:tcW w:type="dxa" w:w="2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מנוע Workflow</w:t>
            </w:r>
          </w:p>
        </w:tc>
        <w:tc>
          <w:tcPr>
            <w:tcW w:type="dxa" w:w="38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עיבוד אסינכררוני של משימות, תזכורות, הסלמות (פרק 3 באפיון)</w:t>
            </w:r>
          </w:p>
        </w:tc>
        <w:tc>
          <w:tcPr>
            <w:tcW w:type="dxa" w:w="28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תהליך Worker נפרד הצורך תור (Queue) ייעודי, למניעת עומס על שרת ה-API הראשי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שירות אינטגרציה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סנכרון Priority, ניהול Retry Queue (API Spec חלק ג׳ פרק 5)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Worker נפרד, עם תור Dead-Letter לכשלים חוזרים</w:t>
            </w:r>
          </w:p>
        </w:tc>
      </w:tr>
    </w:tbl>
    <w:p>
      <w:pPr>
        <w:spacing w:after="12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עקרון מפתח: מנוע ה-Workflow ושירות האינטגרציה רצים כתהליכים נפרדים (ולא בתוך תהליך בקשת ה-API הסינכרוני), כדי שעיבוד אסינכררוני איטי (למשל ניסיון סנכרון עם Priority שנכשל וממתין ל-Retry) לא יאט תגובת מסך למשתמש בשטח.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שכבת נתונים (Database &amp; Storage)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6.1 מסד נתונים ראשי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טכנולוגיה מומלצת: PostgreSQL — תואם לחלוטין למבנה היחסי המורכב שהוגדר ב-Data Dictionary (חלק א׳), תומך טוב ב-JSON (לשדות גמישים כמו הגדרות Workflow), ותומך Row-Level Security לאכיפת RBAC ברמת מסד הנתונים כשכבת הגנה נוספת.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סכימת audit_log (חלק ה׳) מנוהלת באותו מסד נתונים אך בסכימה (Schema) נפרדת, עם הרשאות DB נפרדות ומחמירות (Insert-Only), כמפורט בחלק ה׳ פרק 7.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6.2 אחסון קבצים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Object Storage תואם-S3, לאחסון מסמכים, תעודות, תמונות ופרוטוקולי השמדה (ראו NFR חלק ב׳ פרק 12).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6.3 Cache ותורים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Redis: משמש לשלושה תפקידים נפרדים — Cache (תוצאות שאילתות כבדות כמו עץ עקיבות), Session Store (טוקנים פעילים), ו-Queue (משימות Workflow ואינטגרציה, לפני/אחרי עיבוד).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אימות, הרשאות ו-Audit Trail בארכיטקטורה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שירות IAM ייעודי (או מודול מובנה בשכבת האפליקציה) מנפיק ומאמת טוקנים (JWT), תואם למפורט ב-API Specification (חלק ג׳, פרק 2).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אכיפת RBAC (חלק ד׳) מתבצעת בשתי רמות: (1) ברמת ה-API Gateway/Middleware — חסימת גישה למסלולים שאינם מורשים לתפקיד; (2) ברמת השאילתה במסד הנתונים (Row-Level Security) — הגנה כפולה למניעת עקיפה.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כל פעולת כתיבה בשירותי הליבה עוברת דרך שכבת "Audit Interceptor" משותפת, הכותבת אוטומטית לטבלת audit_log (חלק ה׳) — כך שמפתחים אינם צריכים "לזכור" להוסיף תיעוד בכל endpoint בנפרד, ומונעים פערי כיסוי.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פעולות Enhanced Audit (חתימה דיגיטלית, חלק ה׳ פרק 4) מחייבות קריאה נוספת לשירות חתימה ייעודי, המחשב ושומר את ה-Hash לפני אישור הפעולה.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8. אינטגרציית Priority בארכיטקטורה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שירות האינטגרציה (פרק 5) הוא הנקודה היחידה בארכיטקטורה המתקשרת עם Priority — שאר השירותים אינם מכירים את Priority כלל (Separation of Concerns).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תקשורת מתבצעת באמצעות תור הודעות (Message Queue) פנימי: שינוי בנתון רלוונטי (למשל עדכון מלאי) מפרסם אירוע לתור; שירות האינטגרציה צורך את התור ומבצע את קריאת ה-API בפועל, כולל לוגיקת ה-Retry (API Spec חלק ג׳, פרק 5.4) — כך שכשל זמני ב-Priority אינו חוסם את הפעולה המקורית במערכת.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טכנולוגיה מומלצת לתור ההודעות: RabbitMQ / AWS SQS / Azure Service Bus.</w:t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9. מוכנות לריבוי אתרים (Multi-Site Readiness)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בהתאם לדרישה שהוגדרה באפיון העסקי (פרק 1) — שהארכיטקטורה תתמוך בהתרחבות עתידית ללא שינוי מהותי, גם אם הגרסה הראשונה מיועדת לאתר יחיד. עודכן לאחר שני סבבי ביקורת עצמאית על ה-Data Dictionary: העיקרון מיושם כיום בפועל, לא רק כתכנון עתידי.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טבלת sites וטבלת site_id מומשו בפועל (לא רק "מתוכננות") ב-9 ישויות שורש ב-Data Dictionary (חלק א׳, סעיף 2.10): items, storage_locations, suppliers, users, batches, goods_receipts, production_plans, documents, assets. טבלאות פירוט/קישור יורשות את היקף האתר מההורה שלהן, ללא כפילות.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עיקרון שלמות חוצה-אתרים (Cross-Site Data Integrity, ERD חלק א׳ סעיף 2.12.4): כל FK בין ישויות תפעוליות חייב לקשר רשומות באותו site_id, נאכף בשכבת האפליקציה; חריג מתועד למשתמשי מנהל מערכת/מנהל ייצור (site_id=NULL, תפקידים חוצי-מחלקה לפי פרק 25.1 באפיון, גישה חוצת-אתר לפי הרשאה).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שכבת האפליקציה תומכת מהיום הראשון בסינון לפי site_id בכל שאילתה (Multi-Tenancy Pattern ברמת שורה), גם כאשר בפועל קיים אתר יחיד בלבד.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Dashboard/KPI (פרק 22 באפיון) יתוכנן עם יכולת סינון/צבירה לפי אתר מההתחלה, גם אם כרגע מוצג אתר יחיד.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10. סביבות (Environments) ו-Deployment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00"/>
        <w:gridCol w:w="320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סביבה</w:t>
            </w:r>
          </w:p>
        </w:tc>
        <w:tc>
          <w:tcPr>
            <w:tcW w:type="dxa" w:w="4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מטרה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תדירות עדכון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פיתוח שוטף, בדיקות יחידה, אינטגרציה מקומית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רציף (כל commit)</w:t>
            </w:r>
          </w:p>
        </w:tc>
      </w:tr>
      <w:tr>
        <w:tc>
          <w:tcPr>
            <w:tcW w:type="dxa" w:w="2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Staging / QA</w:t>
            </w:r>
          </w:p>
        </w:tc>
        <w:tc>
          <w:tcPr>
            <w:tcW w:type="dxa" w:w="4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UAT (חלק ו׳), בדיקות עומס, אימות לפני עלייה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עם כל Release Candidate</w:t>
            </w:r>
          </w:p>
        </w:tc>
      </w:tr>
      <w:tr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Production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סביבת הלקוח החיה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לפי לוח שחרורים מאושר (NFR חלק ב׳, פרק 13)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Containerization: כל שירות (Core Services, Workflow Engine, Integration Service) ארוז כ-Docker Image עצמאי.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Orchestration: Kubernetes (או שירות Container מנוהל כגון ECS/AKS/GKE) — מאפשר Auto-Scaling אופקי (NFR-011, עומסי שיא) ופריסה עם Zero-Downtime (Rolling Deployment). פריסת הייצור (Production) על פני מספר Availability Zones (Multi-AZ) היא המימוש הארכיטקטוני הישיר של יעדי הזמינות NFR-014/NFR-015 (99.5%/99.0%) — AZ בודד אינו מספיק לעמידה ביעדים אלו.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CI/CD: כל שינוי קוד עובר Pipeline אוטומטי — בדיקות יחידה → Build Image → פריסה ל-Staging → בדיקות אוטומטיות (חלק ממערך ה-UAT, חלק ו׳) → אישור ידני → פריסה ל-Production.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11. Monitoring ו-Observability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מדדי מערכת (CPU, זיכרון, זמני תגובה, שיעור שגיאות) — נאספים בזמן אמת ומוצגים ב-Dashboard תפעולי (תואם ל-NFR חלק ב׳, פרק 9).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ריכוז לוגים מרכזי (Centralized Logging) לכל השירותים — מאפשר חיפוש לפי request_id (API Spec חלק ג׳, פרק 7) על פני כל שרשרת הקריאות.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התראות אוטומטיות (Alerting) לצוות התפעול הטכני לפי הסֵפים שהוגדרו ב-NFR (חלק ב׳, פרק 9).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טכנולוגיה מומלצת: Prometheus + Grafana (מדדים), ELK Stack / Datadog / CloudWatch (לוגים).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12. Backup ו-DR בפועל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גיבוי מסד הנתונים: Snapshot יומי מלא + Write-Ahead-Log רציף, לעמידה ב-RPO ≤ 30 דקות (NFR חלק ב׳, פרק 7).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גיבוי Object Storage: שכפול חוצה-אזורים (Cross-Region Replication) אוטומטי.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סביבת DR: תשתית מוכנה-להפעלה (Warm Standby) באזור/AZ נפרד, לעמידה ב-RTO ≤ 4 שעות לפונקציות קריטיות (NFR חלק ב׳, פרק 7).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13. אבטחה בארכיטקטורה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כל תקשורת בין שכבות — כולל פנימית בין שירותים — מוצפנת ב-TLS (לא רק בגבול החיצוני), עקרון "Zero Trust" בסיסי.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סודות (Secrets: מפתחות API, סיסמאות DB) מנוהלים בכספת ייעודית (Secrets Manager / Vault), לא בקבצי קונפיגורציה או קוד.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סריקת פגיעויות אוטומטית ב-CI/CD Pipeline (Dependency Scanning), בנוסף לסריקות התקופתיות (NFR חלק ב׳, פרק 8).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רשת מבודדת (VPC/Private Network) לשכבות האפליקציה והנתונים — אינן חשופות ישירות לאינטרנט; רק ה-Gateway חשוף.</w:t>
      </w: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14. סיכום המלצות טכנולוגיה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שכבה</w:t>
            </w:r>
          </w:p>
        </w:tc>
        <w:tc>
          <w:tcPr>
            <w:tcW w:type="dxa" w:w="5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המלצה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Frontend Desktop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React + TypeScript</w:t>
            </w:r>
          </w:p>
        </w:tc>
      </w:tr>
      <w:tr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Frontend Tablet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PWA (React)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Node.js/NestJS או Java/Spring Boot (Modular Monolith)</w:t>
            </w:r>
          </w:p>
        </w:tc>
      </w:tr>
      <w:tr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מסד נתונים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Cache/Queue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</w:tr>
      <w:tr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Object Storage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S3-Compatible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Message Queue (אינטגרציה)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RabbitMQ / SQS / Service Bus</w:t>
            </w:r>
          </w:p>
        </w:tc>
      </w:tr>
      <w:tr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Gateway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Kong / AWS API Gateway / Azure APIM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Container Orchestration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Kubernetes (או שירות מנוהל: ECS/AKS/GKE)</w:t>
            </w:r>
          </w:p>
        </w:tc>
      </w:tr>
      <w:tr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Monitoring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Prometheus + Grafana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Logging</w:t>
            </w:r>
          </w:p>
        </w:tc>
        <w:tc>
          <w:tcPr>
            <w:tcW w:type="dxa" w:w="5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ELK Stack / Datadog / CloudWatch</w:t>
            </w:r>
          </w:p>
        </w:tc>
      </w:tr>
      <w:tr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Secrets Management</w:t>
            </w:r>
          </w:p>
        </w:tc>
        <w:tc>
          <w:tcPr>
            <w:tcW w:type="dxa" w:w="5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HashiCorp Vault / AWS Secrets Manager</w:t>
            </w:r>
          </w:p>
        </w:tc>
      </w:tr>
    </w:tbl>
    <w:p>
      <w:pPr>
        <w:spacing w:after="12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2"/>
          <w:szCs w:val="22"/>
        </w:rPr>
        <w:t xml:space="preserve">כל ההמלצות לעיל הן ברירת מחדל סבירה (Best Practice) בהתאם להיקף המערכת ולדרישות ה-NFR (חלק ב׳); הבחירה הסופית כפופה למדיניות IT הארגונית, תשתית קיימת, וזמינות כוח אדם טכני בעל ניסיון בטכנולוגיה הנבחרת.</w:t>
      </w:r>
    </w:p>
    <w:p>
      <w:pPr>
        <w:spacing w:after="300"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15. סיכום שכבת העיצוב הטכני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עם השלמת מסמך זה, שכבת ה-Technical Design מלאה: ERD ו-Data Dictionary (חלק א׳), NFR (חלק ב׳), API Specification (חלק ג׳), RBAC Matrix (חלק ד׳), Audit Trail (חלק ה׳), UAT (חלק ו׳), וArchitecture (חלק ז׳) — יחד עם מסמך האפיון העסקי (27 פרקים), מהווים חבילת אפיון מלאה ברמת Enterprise, הניתנת להעברה לחברת פיתוח עם מינימום שאלות הבהרה.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e41a5c21df03a16030f215ee36f53d5c9f785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>עיצוב טכני</dc:creator>
  <cp:lastModifiedBy>Un-named</cp:lastModifiedBy>
  <cp:revision>1</cp:revision>
  <dcterms:created xsi:type="dcterms:W3CDTF">2026-07-05T17:55:43.165Z</dcterms:created>
  <dcterms:modified xsi:type="dcterms:W3CDTF">2026-07-05T17:55:43.176Z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