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עיצוב טכני (Technical Design)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חלק ה׳: Audit Trail</w:t>
      </w:r>
    </w:p>
    <w:p>
      <w:pPr>
        <w:spacing w:after="6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תיעוד בלתי-הפיך של פעולות קריטיות ושינויי נתונים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גרסה 1.0</w:t>
      </w:r>
    </w:p>
    <w:p>
      <w:pPr>
        <w:spacing w:after="900"/>
        <w:jc w:val="center"/>
      </w:pPr>
      <w:r>
        <w:rPr>
          <w:rFonts w:ascii="Arial" w:cs="Arial" w:eastAsia="Arial" w:hAnsi="Arial"/>
          <w:sz w:val="22"/>
          <w:szCs w:val="22"/>
        </w:rPr>
        <w:t xml:space="preserve">תאריך: 02/07/2026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מסמך זה מתרגם את דרישות התיעוד שהוגדרו לאורך מסמך האפיון העסקי (Audit Trail מוזכר בפרקים 9, 14, 15, 16, 17, 18, 25) ואת טבלת הפעולות הקריטיות מ-RBAC Matrix (חלק ד׳, פרק 9) למפרט טכני מלא: מה נרשם, איך, למי מותר לצפות, ואיך מובטחת אי-ניתנות-לשינוי.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עקרונות יסוד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ה-Audit Trail הוא תיעוד עסקי-רגולטורי, נפרד משכבת ה-Logging הטכני (NFR, חלק ב׳, פרק 9) — Logging טכני משרת דיבוג/ביצועים; Audit Trail משרת מוכנות לביקורת (למשל ביקורת משרד הבריאות, תביעת לקוח, אירוע ריקול).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רשומת Audit נכתבת פעם אחת (Insert-Only) ואינה ניתנת לעדכון או מחיקה על ידי אף משתמש, כולל מנהל מערכת (ראו פרק 7).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קיימות שתי רמות תיעוד: תיעוד רגיל (Standard) לכל שינוי בישות עסקית מתועדת, ותיעוד מוגבר (Enhanced / חתימה דיגיטלית) לפעולות הקריטיות שהוגדרו ב-RBAC Matrix.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היקף — אילו פעולות נרשמות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Audit Trail Standard נרשם עבור כל פעולת יצירה/עדכון/שינוי-סטטוס/מחיקה-רכה בישויות הבאות (רשימה חלקית, מלאה ב-Data Dictionary חלק א׳):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קטגוריה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ישויות לדוגמה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פעולות מתועדות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נתוני אב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items, bom, storage_locations, suppliers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יצירה, עדכון, השבתה</w:t>
            </w:r>
          </w:p>
        </w:tc>
      </w:tr>
      <w:tr>
        <w:tc>
          <w:tcPr>
            <w:tcW w:type="dxa" w:w="1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אצוות ותנועות מלאי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batches, goods_receipts, inventory_counts, inventory_movements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יצירה, שינוי סטטוס, שינוי כמות; ל-inventory_movements עצמו (Ledger לקריאה בלבד, ראו API Spec חלק ג׳) כל רשומה היא ביסודה כבר "רשומת Audit" של תנועת המלאי — אין overhead תיעוד נוסף מעליה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איכות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ccp_measurements, quality_deviations, capa_records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יצירה, שינוי סטטוס, אישור/דחייה</w:t>
            </w:r>
          </w:p>
        </w:tc>
      </w:tr>
      <w:tr>
        <w:tc>
          <w:tcPr>
            <w:tcW w:type="dxa" w:w="1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מסמכים והדרכה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documents, document_versions, document_types, employee_competency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פרסום גרסה, אישור, השלמת הדרכה, הוספת/השבתת סוג מסמך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מסמכים מצורפים (attached_documents)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תעודות ספק, COA, פרוטוקולי השמדה, תמונות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העלאה, החלפה, מחיקה/השבתה, הורדה, צפייה — ראו פרוט מלא בפרק 2.1</w:t>
            </w:r>
          </w:p>
        </w:tc>
      </w:tr>
      <w:tr>
        <w:tc>
          <w:tcPr>
            <w:tcW w:type="dxa" w:w="1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workflow_tasks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פתיחה, הקצאה, סגירה, הסלמה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משתמשים והרשאות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users, user_roles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יצירה, שינוי תפקיד, השבתה</w:t>
            </w:r>
          </w:p>
        </w:tc>
      </w:tr>
      <w:tr>
        <w:tc>
          <w:tcPr>
            <w:tcW w:type="dxa" w:w="18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תשתית וקונפיגורציה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sites, system_parameters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עדכון פרמטר גלובלי; הוספת/השבתת אתר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אינטגרציה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integration_sync_log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ניסיון סנכרון (בנוסף לתיעוד הטכני, API Spec פרק 5.4)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פעולות צפייה (Read/View) בלבד — אינן נרשמות ב-Audit Trail העסקי (רק ב-Logging הטכני), למעט ייצוא נתונים (Export), הנרשם תמיד. חריג מוגדר: קבצים מצורפים בעלי ערך רגולטורי (ראו פרק 2.1) — עבורם גם צפייה/הורדה נרשמות, לצורך שרשרת משמורת (Chain of Custody).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התחברות/התנתקות למערכת (Login/Logout) נרשמת לצורך שיוך session_id, אך כרשומת Logging טכני ולא כרשומת Audit עסקית.</w:t>
      </w: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2.1 מדיניות Audit ייעודית — מסמכים מצורפים (Attachments)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קבצים מצורפים (תעודות ספק, COA, פרוטוקולי השמדה, תמונות GMP) הם לעיתים קרובות הראיה הרגולטורית עצמה במקרה ביקורת — ולכן מחזור החיים המלא שלהם מתועד, כולל צפייה/הורדה, בניגוד לעקרון הכללי (פרק 2).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2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פעולה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רמת Audit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הערות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Upload (העלאה)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נרשם entity_type/entity_id של הרשומה המקושרת (למשל goods_receipt), checksum הקובץ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Replace (החלפה)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הקובץ הקודם אינו נמחק — נשמר כגרסה היסטורית, בדומה לעקרון document_versions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Delete / Deactivate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 (חתימה דיגיטלית)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מחיקת ראיה רגולטורית היא פעולה רגישה; דורשת נימוק חובה וחתימה, בדומה לפעולות הקריטיות בפרק 5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Download (הורדה)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חריג לעיקרון הכללי — נרשם לצורך שרשרת משמורת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(צפייה בתצוגה מקדימה)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חריג לעיקרון הכללי, מאותו נימוק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מבנה רשומת Audit — שדות נשמרים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כל רשומת Audit (טבלת audit_log ב-Data Dictionary) כוללת את השדות הבאים עבור כל פעולה, ללא יוצא מן הכלל: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שדה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 נתון</w:t>
            </w:r>
          </w:p>
        </w:tc>
        <w:tc>
          <w:tcPr>
            <w:tcW w:type="dxa" w:w="4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תיאור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audit_id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(PK)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מזהה רץ, ייחודי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entity_type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שם הטבלה המושפעת (למשל batches, capa_records)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entity_id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מזהה הרשומה המושפעת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action_type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ENUM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/ UPDATE / STATUS_CHANGE / APPROVE / REJECT / DEACTIVATE / EXPORT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field_name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שם השדה שהשתנה (לרמת פירוט שדה-בשדה)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old_value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ערך קודם (NULL ביצירה)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new_value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ערך חדש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performed_by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 → users)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מבצע הפעולה בפועל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performed_at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 (UTC)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חותמת זמן מדויקת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device_id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מזהה מכשיר (טאבלט/עמדה) — ראו פרק 6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ip_address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VARCHAR(45)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כתובת IP במקור הבקשה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session_id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מזהה session מקושר להתחברות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reason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נימוק/הערה — חובה לפעולות קריטיות (ראו פרק 5)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related_workflow_task_id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 (FK, אופציונלי)</w:t>
            </w:r>
          </w:p>
        </w:tc>
        <w:tc>
          <w:tcPr>
            <w:tcW w:type="dxa" w:w="4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אם הפעולה בוצעה כחלק מאישור Workflow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digital_signature_hash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VARCHAR(256), אופציונלי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Hash קריפטוגרפי — רק לפעולות Enhanced (פרק 5)</w:t>
            </w:r>
          </w:p>
        </w:tc>
      </w:tr>
    </w:tbl>
    <w:p>
      <w:pPr>
        <w:spacing w:after="120"/>
      </w:pPr>
    </w:p>
    <w:p>
      <w:pPr>
        <w:pStyle w:val="Heading2"/>
        <w:bidi/>
        <w:spacing w:after="120" w:before="260"/>
        <w:jc w:val="right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דוגמת רשומת Audit — שחרור אצווה מהסגר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4F4F4" w:val="clear"/>
        <w:spacing w:after="160"/>
        <w:jc w:val="left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"audit_id": 918273,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"entity_type": "batches",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"entity_id": 9042,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"action_type": "STATUS_CHANGE",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"field_name": "status",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"old_value": "on_hold",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"new_value": "active",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"performed_by": 27,                  // user_id של מנהלת אבטחת איכות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"performed_at": "2026-07-02T10:14:33Z",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"device_id": "TABLET-QA-002",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"ip_address": "10.20.4.61",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"session_id": "sess_98af...",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"reason": "נבדק מקור החריגה מול תעודת ספק - התוצאה בתחום התקן, משוחרר לשימוש",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"related_workflow_task_id": 55210,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  "digital_signature_hash": "sha256:9f8a2e1c..."</w:t>
      </w:r>
      <w:r>
        <w:rPr>
          <w:rFonts w:ascii="Consolas" w:cs="Consolas" w:eastAsia="Consolas" w:hAnsi="Consolas"/>
          <w:color w:val="1F1F1F"/>
          <w:sz w:val="18"/>
          <w:szCs w:val="18"/>
        </w:rPr>
        <w:br/>
        <w:t xml:space="preserve">}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מודל דו-שכבתי: Standard מול Enhanced (חתימה דיגיטלית)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מאפיין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Audit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Enhanced Audit (חתימה דיגיטלית)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מתי מופעל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כל שינוי בישות עסקית מתועדת (פרק 2)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רק פעולות קריטיות (פרק 5, מ-RBAC Matrix חלק ד׳)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שדה reason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אופציונלי (למעט אם עודכן סטטוס משמעותי)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חובה — לא ניתן לבצע פעולה ללא נימוק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digital_signature_hash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ריק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מחושב ונשמר: hash(user_id + entity_id + action + timestamp + reason)</w:t>
            </w:r>
          </w:p>
        </w:tc>
      </w:tr>
      <w:tr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תיעוד מכשיר קצה</w:t>
            </w:r>
          </w:p>
        </w:tc>
        <w:tc>
          <w:tcPr>
            <w:tcW w:type="dxa" w:w="3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כן, בתוספת אימות זהות (Re-auth) לפני חתימה במקרים רגישים במיוחד (למשל השמדה)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ניתנות לצפייה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לפי הרשאה (פרק 8)</w:t>
            </w:r>
          </w:p>
        </w:tc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לפי הרשאה מוגברת (מנהלת אבטחת איכות/מנהל מערכת בלבד)</w:t>
            </w:r>
          </w:p>
        </w:tc>
      </w:tr>
    </w:tbl>
    <w:p>
      <w:pPr>
        <w:spacing w:after="12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חישוב ה-Hash: פונקציית גיבוב חד-כיוונית (SHA-256) על שרשור השדות הקריטיים של הפעולה, כך שכל שינוי בדיעבד בנתונים (אפילו על ידי גישה ישירה למסד הנתונים) יגרום לאי-התאמה בין ה-Hash לתוכן — מספק "עדות לשיבוש" (Tamper Evidence).</w:t>
      </w:r>
    </w:p>
    <w:p>
      <w:pPr>
        <w:pageBreakBefore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חיבור ישיר לפעולות הקריטיות (RBAC Matrix, חלק ד׳)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הטבלה הבאה ממפה במפורש את 13 הפעולות הקריטיות שהוגדרו ב-RBAC Matrix (חלק ד׳, פרק 3) לדרישות ה-Audit הספציפיות שלהן: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1200"/>
        <w:gridCol w:w="1300"/>
        <w:gridCol w:w="31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פעולה קריטית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רמת Audit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חובה?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חתימה דיגיטלית?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צפייה מורשית ל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שחרור אצווה מהסגר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איכות, מנהל מערכת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פסילת אצווה סופית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איכות, מנהל מערכת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הסגר אצווה (אוטומטי)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 (אוטומטי, סיבה=מזוהה מערכתית)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CR-001: אישור המשך שימוש לאחר חריגת משך הפשרה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ייצור, מנהלת אבטחת איכות, מנהל מערכת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סגירת CAPA + אישור יעילות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איכות, מנהל מערכת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אישור השמדת אצווה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איכות, מנהל מערכת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שינוי BOM פעיל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ייצור, מנהלת אבטחת איכות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שינוי פריט בשימוש פעיל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מערכת, מנהלת אבטחת איכות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ניהול משתמשים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(מוגבר בפועל)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עדכון פרמטר גלובלי (system_parameters)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(מוגבר בפועל)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אישור ספק חדש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רכש, מנהלת אבטחת איכות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אישור תוכנית ייצור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ייצור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פרסום גרסת מסמך/נוהל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איכות, מנהל מערכת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אישור פער ספירה חורג</w:t>
            </w:r>
          </w:p>
        </w:tc>
        <w:tc>
          <w:tcPr>
            <w:tcW w:type="dxa" w:w="1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</w:t>
            </w:r>
          </w:p>
        </w:tc>
        <w:tc>
          <w:tcPr>
            <w:tcW w:type="dxa" w:w="1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כן</w:t>
            </w:r>
          </w:p>
        </w:tc>
        <w:tc>
          <w:tcPr>
            <w:tcW w:type="dxa" w:w="1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לא</w:t>
            </w:r>
          </w:p>
        </w:tc>
        <w:tc>
          <w:tcPr>
            <w:tcW w:type="dxa" w:w="3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מחסן</w:t>
            </w:r>
          </w:p>
        </w:tc>
      </w:tr>
    </w:tbl>
    <w:p>
      <w:pPr>
        <w:spacing w:after="12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טבלה זו היא "מקור האמת" התפעולי: כל פעולה המופיעה בה מיושמת בקוד עם הבדיקות המתאימות (reason חובה, חישוב חתימה) לפני שהיא נשמרת.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תיעוד מכשיר קצה (Device Tracking)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device_id: מזהה קבוע לכל טאבלט/עמדה (Serial Number או UUID שנוצר בהתקנה הראשונה), נשמר עם כל רשומת Audit.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במכשירים משותפים (טאבלטים בשטח, ראו NFR חלק ב׳ פרק 10) — הזיהוי המלא הוא צירוף device_id + performed_by (המשתמש המחובר), כך שאחריות הפעולה תמיד משויכת לאדם ולא רק למכשיר.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ip_address נאסף אוטומטית ברמת השרת (Request Header / Connection), ואינו תלוי בדיווח הלקוח.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אי-ניתנות לשינוי (Immutability)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טבלת audit_log היא Insert-Only ברמת מסד הנתונים: חשבון השירות של האפליקציה מקבל הרשאת INSERT בלבד על טבלה זו — ללא UPDATE וללא DELETE, גם ברמת ה-DBA (הרשאות נפרדות ומבוקרות לתחזוקת מסד נתונים).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במערכת אף מסך או API endpoint המאפשרים עריכה או מחיקה של רשומת Audit קיימת — לא למנהל מערכת ולא לאף תפקיד אחר.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שרשור גיבוב (Hash Chaining, אופציונלי לשלב מתקדם): כל רשומת Enhanced Audit יכולה לכלול גם hash של הרשומה הקודמת מאותה ישות, כך שניסיון "להזריק" רשומה באמצע הרצף ההיסטורי יתגלה מיידית באימות השרשרת.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תהליך הגיבוי והארכוב עצמו (ראו NFR חלק ב׳, פרק 6) מתועד אף הוא — "מטא-תיעוד" של פעולות תחזוקת המערכת.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ערבות שלמות (אומתה מול Architecture, חלק ז׳, פרק 7): כל פעולת כתיבה בשירותי הליבה עוברת דרך שכבת "Audit Interceptor" משותפת בקוד היישום, הכותבת אוטומטית לטבלת audit_log באותה עסקת מסד-נתונים (Transaction) כמו הפעולה העסקית עצמה. המשמעות: פעולה קריטית (פרק 5) ורשומת ה-Audit שלה מצליחות או נכשלות יחד — לא ניתן שהפעולה העסקית תושלם ללא רשומת Audit מתאימה.</w:t>
      </w: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הרשאות צפייה ב-Audit Trail</w:t>
      </w: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הרשאת הצפייה ב-Audit Trail נפרדת מהרשאת ביצוע הפעולה עצמה, ומוגדרת כמודול נוסף במטריצת ה-RBAC (חלק ד׳):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תפקיד</w:t>
            </w:r>
          </w:p>
        </w:tc>
        <w:tc>
          <w:tcPr>
            <w:tcW w:type="dxa" w:w="6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היקף צפייה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מערכת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מלא — כלל רשומות ה-Audit במערכת, כולל ייצוא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מנהלת אבטחת איכות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רשומות הקשורות לאיכות, אצוות, CCP, CAPA, מסמכים, ספקים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מנהל ייצור</w:t>
            </w:r>
          </w:p>
        </w:tc>
        <w:tc>
          <w:tcPr>
            <w:tcW w:type="dxa" w:w="6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רשומות הקשורות לתוכניות ייצור ו-BOM בלבד</w:t>
            </w:r>
          </w:p>
        </w:tc>
      </w:tr>
      <w:tr>
        <w:tc>
          <w:tcPr>
            <w:tcW w:type="dxa" w:w="26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שאר התפקידים (מחסנאי, מנהל מחסן, מנהל מטבח, טבח, מנהל אריזה, עובד אריזה, משלוחים, מבקרת אבטחת איכות, מנהל רכש)</w:t>
            </w:r>
          </w:p>
        </w:tc>
        <w:tc>
          <w:tcPr>
            <w:tcW w:type="dxa" w:w="6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צפייה בהיסטוריית הפעולות שביצעו בעצמם בלבד ("ההיסטוריה שלי")</w:t>
            </w:r>
          </w:p>
        </w:tc>
      </w:tr>
    </w:tbl>
    <w:p>
      <w:pPr>
        <w:spacing w:after="120"/>
      </w:pPr>
    </w:p>
    <w:p>
      <w:pPr>
        <w:pStyle w:val="Heading1"/>
        <w:bidi/>
        <w:spacing w:after="160" w:before="36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תקופת שמירה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21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סוג רשומה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שמירה "חמה" (זמינה מיידית)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שמירה "קרה" (ארכיון)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סה"כ מינימום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Enhanced Audit (חתימה דיגיטלית)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שנים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 7 שנים נוספות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שנים (תואם NFR-023)</w:t>
            </w:r>
          </w:p>
        </w:tc>
      </w:tr>
      <w:tr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Standard Audit (עסקי רגיל)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שנים</w:t>
            </w:r>
          </w:p>
        </w:tc>
        <w:tc>
          <w:tcPr>
            <w:tcW w:type="dxa" w:w="22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 4 שנים נוספות</w:t>
            </w:r>
          </w:p>
        </w:tc>
        <w:tc>
          <w:tcPr>
            <w:tcW w:type="dxa" w:w="21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 שנים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Logging טכני (נפרד, ראו NFR חלק ב׳)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יום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עד שנה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שנה (NFR-034)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שחזור מארכיון "קר": זמינות תוך 48 שעות ממועד הבקשה (SLA תמיכה, ראו NFR חלק ב׳ פרק 13).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</w:rPr>
        <w:t xml:space="preserve">תקופת השמירה ל-7 שנים היא ברירת מחדל שמרנית לתעשיית מזון; כפי שצוין ב-NFR, יש לאמת מול הדרישה הרגולטורית הספציפית הרלוונטית למפעל.</w:t>
      </w:r>
    </w:p>
    <w:p>
      <w:pPr>
        <w:spacing w:after="300"/>
      </w:pPr>
    </w:p>
    <w:p>
      <w:pPr>
        <w:bidi/>
        <w:spacing w:after="14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סוף חלק ה׳ (Audit Trail). החלקים הבאים בשכבת העיצוב הטכני — UAT, Architecture — ייבנו בהמשך, לפי הסדר שאושר.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 Trail</dc:title>
  <dc:creator>עיצוב טכני</dc:creator>
  <cp:lastModifiedBy>Un-named</cp:lastModifiedBy>
  <cp:revision>1</cp:revision>
  <dcterms:created xsi:type="dcterms:W3CDTF">2026-07-05T17:45:02.620Z</dcterms:created>
  <dcterms:modified xsi:type="dcterms:W3CDTF">2026-07-05T17:45:02.632Z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