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Capsule summary</w:t>
      </w:r>
      <w:r w:rsidDel="00000000" w:rsidR="00000000" w:rsidRPr="00000000">
        <w:rPr>
          <w:rtl w:val="0"/>
        </w:rPr>
        <w:t xml:space="preserve"> </w:t>
      </w:r>
    </w:p>
    <w:p w:rsidR="00000000" w:rsidDel="00000000" w:rsidP="00000000" w:rsidRDefault="00000000" w:rsidRPr="00000000" w14:paraId="00000002">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Certain NSAIDs, including carprofen, exhibit direct bactericidal activity against mycobacteria in vitro and have been proposed as host-directed therapy (HDT) candidates for tuberculosis, but their specific effects on human macrophage immune responses and intracellular mycobacterial growth control remain poorly characterized.</w:t>
      </w:r>
    </w:p>
    <w:p w:rsidR="00000000" w:rsidDel="00000000" w:rsidP="00000000" w:rsidRDefault="00000000" w:rsidRPr="00000000" w14:paraId="00000003">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This study investigated whether carprofen modulates pro-inflammatory cytokine production (IL-1β, IL-6, TNF-α) in human monocyte-derived macrophages stimulated with lipopolysaccharide (LPS) or BCG, and whether transient versus sustained carprofen exposure differentially affects extracellular and intracellular BCG growth.</w:t>
      </w:r>
    </w:p>
    <w:p w:rsidR="00000000" w:rsidDel="00000000" w:rsidP="00000000" w:rsidRDefault="00000000" w:rsidRPr="00000000" w14:paraId="00000004">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Carprofen selectively potentiates LPS-induced IL-1β production through a synergistic interaction without significantly altering IL-6 or TNF-α, and while transient carprofen exposure is sufficient to inhibit extracellular BCG replication, sustained drug exposure over 7 days is required to suppress intracellular mycobacterial growth within macrophages.</w:t>
      </w:r>
    </w:p>
    <w:p w:rsidR="00000000" w:rsidDel="00000000" w:rsidP="00000000" w:rsidRDefault="00000000" w:rsidRPr="00000000" w14:paraId="00000005">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These findings suggest that carprofen has dual HDT potential — immunomodulatory and antimycobacterial — but highlight that clinical dosing strategies must achieve sustained intracellular drug concentrations to effectively control the intracellular mycobacterial reservoir that drives tuberculosis pathogenesis.</w:t>
      </w:r>
    </w:p>
    <w:p w:rsidR="00000000" w:rsidDel="00000000" w:rsidP="00000000" w:rsidRDefault="00000000" w:rsidRPr="00000000" w14:paraId="00000006">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07">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Summary</w:t>
      </w:r>
    </w:p>
    <w:p w:rsidR="00000000" w:rsidDel="00000000" w:rsidP="00000000" w:rsidRDefault="00000000" w:rsidRPr="00000000" w14:paraId="00000008">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Tuberculosis (TB) remains a leading cause of infectious disease mortality worldwide. Standard antibiotic therapy targets the pathogen but does not address the dysregulated host immune response that contributes to tissue destruction and disease progression. HDT aims to modulate immune pathways to enhance antimicrobial activity while limiting immunopathology. Nonsteroidal anti-inflammatory drugs (NSAIDs) with direct bactericidal activity against mycobacteria have emerged as promising HDT candidates, but their specific effects on human macrophage immune responses and intracellular mycobacterial growth control remain poorly defined.</w:t>
      </w:r>
    </w:p>
    <w:p w:rsidR="00000000" w:rsidDel="00000000" w:rsidP="00000000" w:rsidRDefault="00000000" w:rsidRPr="00000000" w14:paraId="00000009">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This study investigated the immunomodulatory and antimycobacterial effects of carprofen, a microbicidal NSAID, using human monocyte-derived macrophages (MDMs). Cytokine production (IL-1β, IL-6, TNF-α) was measured by ELISA following 6-hour stimulation with lipopolysaccharide (LPS) or Mycobacterium bovis bacillus Calmette–Guérin (BCG) in the presence of carprofen (0, 1, 10, 100 µg/mL). BCG growth was assessed by fluorescence-based flow cytometry over 7 days under two conditions: transient carprofen exposure (4 hours only) and sustained exposure (continuous for 7 days).</w:t>
      </w:r>
    </w:p>
    <w:p w:rsidR="00000000" w:rsidDel="00000000" w:rsidP="00000000" w:rsidRDefault="00000000" w:rsidRPr="00000000" w14:paraId="0000000A">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Carprofen did not significantly alter IL-6 or TNF-α production in response to either LPS or BCG. However, a significant synergistic interaction between carprofen and LPS was observed for IL-1β (p = 0.015), with the highest concentration potentiating IL-1β release approximately 4.6-fold. BCG-induced cytokine responses were markedly weaker than LPS and were unaffected by carprofen. In the BCG growth assay, transient carprofen exposure produced dose-dependent inhibition of extracellular BCG replication but paradoxically increased intracellular bacterial growth. In contrast, sustained carprofen treatment effectively suppressed both extracellular and intracellular BCG replication.</w:t>
      </w:r>
    </w:p>
    <w:p w:rsidR="00000000" w:rsidDel="00000000" w:rsidP="00000000" w:rsidRDefault="00000000" w:rsidRPr="00000000" w14:paraId="0000000B">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These results demonstrate that carprofen selectively modulates inflammasome-dependent IL-1β production and exerts concentration- and duration-dependent antimycobacterial effects, with sustained drug exposure being essential for intracellular bacterial control. These findings support further investigation of carprofen as an adjunctive HDT agent for TB.</w:t>
      </w:r>
    </w:p>
    <w:p w:rsidR="00000000" w:rsidDel="00000000" w:rsidP="00000000" w:rsidRDefault="00000000" w:rsidRPr="00000000" w14:paraId="0000000C">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0D">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Introduction</w:t>
      </w:r>
      <w:r w:rsidDel="00000000" w:rsidR="00000000" w:rsidRPr="00000000">
        <w:rPr>
          <w:rtl w:val="0"/>
        </w:rPr>
      </w:r>
    </w:p>
    <w:p w:rsidR="00000000" w:rsidDel="00000000" w:rsidP="00000000" w:rsidRDefault="00000000" w:rsidRPr="00000000" w14:paraId="0000000E">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TB is a chronic infectious disease caused by</w:t>
      </w:r>
      <w:r w:rsidDel="00000000" w:rsidR="00000000" w:rsidRPr="00000000">
        <w:rPr>
          <w:i w:val="1"/>
          <w:iCs w:val="1"/>
          <w:rtl w:val="0"/>
        </w:rPr>
        <w:t xml:space="preserve"> Mycobacterium tuberculosis </w:t>
      </w:r>
      <w:r w:rsidDel="00000000" w:rsidR="00000000" w:rsidRPr="00000000">
        <w:rPr>
          <w:rtl w:val="0"/>
        </w:rPr>
        <w:t xml:space="preserve">(Mtb), most commonly affecting the lungs. It spreads through airborne droplets released when individuals with pulmonary TB cough, speak, or sneeze. According to the World Health Organization (2024), TB caused an estimated 10.7 million new cases and 1.23 million deaths in 2024, making it one of the leading infectious causes of mortality. Drug-susceptible TB is treated with six months of antibiotics, beginning with two months of isoniazid, rifampicin, pyrazinamide and ethambutol, followed by four months of isoniazid and rifampicin[1]. Effective treatment requires good adherence and monitoring for toxicity, and cases involving drug resistance often require longer regimens that include second-line drugs with higher toxicity. However, Mtb has a lipid-rich cell wall that limits antibiotic permeability and can persist for long periods within macrophages, allowing the infection to continue despite treatment[2]. In addition, the large global population with latent infection, together with the lengthy treatment course and increasing levels of drug resistance, indicates that antimicrobial therapy alone is insufficient for full disease control[3].</w:t>
      </w:r>
    </w:p>
    <w:p w:rsidR="00000000" w:rsidDel="00000000" w:rsidP="00000000" w:rsidRDefault="00000000" w:rsidRPr="00000000" w14:paraId="0000000F">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The course of TB is strongly influenced by the host immune response as well as by bacterial replication[4]. Excessive or dysregulated inflammation contributes to many of the pathological features of TB, driven by cytokines such as TNF-α, IL-1β and type I interferons, as well as sustained immune activation within granulomas[5]. This immunopathology contributes to lung tissue destruction, cavity formation and enhanced transmission, whereas insufficient immune responses fail to contain bacterial growth. Standard antibiotic therapy targets the pathogen but does not regulate harmful inflammation or protect host tissue[4]. These limitations have encouraged growing interest in HDT, which aims to modulate immune pathways to enhance antimicrobial activity while reducing immunopathology, and may be especially valuable in the context of drug-resistant disease[6].</w:t>
      </w:r>
    </w:p>
    <w:p w:rsidR="00000000" w:rsidDel="00000000" w:rsidP="00000000" w:rsidRDefault="00000000" w:rsidRPr="00000000" w14:paraId="00000010">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NSAIDs are increasingly being regarded as promising candidates for HDT due to their potential for both immunomodulatory and antibacterial activity[7, 8]. Multiple in vitro and animal model studies have shown that various NSAIDs and their analogues, including ibuprofen and carprofen, can inhibit the growth of Mtb within achievable drug concentrations[9]. Some compounds also exhibit concentration-dependent bactericidal activity, even against certain drug-resistant strains. Mechanistic studies suggest that some NSAID analogs can interfere with key components of the Mtb electron transport chain, disrupting its energy metabolism and weakening cell membrane integrity[10]. Furthermore, studies have reported that these compounds can synergize with standard anti-tuberculosis drugs, providing a biological basis for using bactericidal NSAIDs as adjunctive therapy in existing chemotherapy regimens[11, 12].</w:t>
      </w:r>
    </w:p>
    <w:p w:rsidR="00000000" w:rsidDel="00000000" w:rsidP="00000000" w:rsidRDefault="00000000" w:rsidRPr="00000000" w14:paraId="00000011">
      <w:pPr>
        <w:tabs>
          <w:tab w:val="left" w:leader="none" w:pos="2394"/>
          <w:tab w:val="center" w:leader="none" w:pos="4320"/>
          <w:tab w:val="right" w:leader="none" w:pos="8640"/>
          <w:tab w:val="left" w:leader="none" w:pos="2394"/>
          <w:tab w:val="center" w:leader="none" w:pos="4320"/>
          <w:tab w:val="right" w:leader="none" w:pos="8640"/>
        </w:tabs>
        <w:rPr/>
      </w:pPr>
      <w:bookmarkStart w:colFirst="0" w:colLast="0" w:name="_heading=h.i3frd29vwqwn" w:id="0"/>
      <w:bookmarkEnd w:id="0"/>
      <w:r w:rsidDel="00000000" w:rsidR="00000000" w:rsidRPr="00000000">
        <w:rPr>
          <w:rtl w:val="0"/>
        </w:rPr>
        <w:t xml:space="preserve">In addition to their direct antimicrobial effects, NSAIDs may influence several aspects of the host immune response during Mtb infection. By inhibiting cyclooxygenase (COX) enzymes and altering the arachidonic acid–prostaglandin pathway, they can modify the local inflammatory environment and regulate cytokine production by macrophages and other immune cells[13]. NSAIDs may also modulate macrophage activation, bactericidal capacity and the balance between apoptosis and necrosis through effects on NF-κB signaling, inflammasome activity and the generation of reactive oxygen and nitrogen species. These changes have the potential to influence bacterial clearance, antigen presentation and the quality of T cell responses. NSAIDs with microbicidal activity therefore represent promising candidates for therapeutic strategies that target both the pathogen and the host immune response[7, 8, 13].</w:t>
      </w:r>
    </w:p>
    <w:p w:rsidR="00000000" w:rsidDel="00000000" w:rsidP="00000000" w:rsidRDefault="00000000" w:rsidRPr="00000000" w14:paraId="00000012">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Despite these observations, the specific immunological effects of microbicidal NSAIDs in the context of mycobacterial infection remain poorly defined. In particular, it is not yet clear how such compounds influence macrophage responses to innate stimuli or during mycobacterial infection itself, or whether they can restrict intracellular bacterial growth within macrophages. To investigate these questions, this project uses carprofen as a representative microbicidal NSAID and </w:t>
      </w:r>
      <w:r w:rsidDel="00000000" w:rsidR="00000000" w:rsidRPr="00000000">
        <w:rPr>
          <w:b w:val="0"/>
          <w:bCs w:val="0"/>
          <w:color w:val="000000"/>
          <w:highlight w:val="white"/>
          <w:rtl w:val="0"/>
        </w:rPr>
        <w:t xml:space="preserve">BCG as a biosafety level 2 model for Mtb,</w:t>
      </w:r>
      <w:r w:rsidDel="00000000" w:rsidR="00000000" w:rsidRPr="00000000">
        <w:rPr>
          <w:rtl w:val="0"/>
        </w:rPr>
        <w:t xml:space="preserve"> examining its immunomodulatory effects in vitro using human monocyte-derived macrophages (MDMs). The specific objectives are: to evaluate the effects of carprofen on macrophage innate immune responses to LPS and BCG stimulation; to assess the effects of transient and sustained carprofen treatment on intracellular and extracellular BCG growth in MDMs.</w:t>
      </w:r>
    </w:p>
    <w:p w:rsidR="00000000" w:rsidDel="00000000" w:rsidP="00000000" w:rsidRDefault="00000000" w:rsidRPr="00000000" w14:paraId="00000013">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14">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Results</w:t>
      </w:r>
    </w:p>
    <w:p w:rsidR="00000000" w:rsidDel="00000000" w:rsidP="00000000" w:rsidRDefault="00000000" w:rsidRPr="00000000" w14:paraId="00000015">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rtl w:val="0"/>
        </w:rPr>
      </w:r>
    </w:p>
    <w:p w:rsidR="00000000" w:rsidDel="00000000" w:rsidP="00000000" w:rsidRDefault="00000000" w:rsidRPr="00000000" w14:paraId="00000016">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Cytokine production in LPS-stimulated MDMs co-treated with carprofen</w:t>
      </w:r>
      <w:r w:rsidDel="00000000" w:rsidR="00000000" w:rsidRPr="00000000">
        <w:rPr>
          <w:rtl w:val="0"/>
        </w:rPr>
      </w:r>
    </w:p>
    <w:p w:rsidR="00000000" w:rsidDel="00000000" w:rsidP="00000000" w:rsidRDefault="00000000" w:rsidRPr="00000000" w14:paraId="00000017">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To investigate whether carprofen modulates the pro-inflammatory cytokine response to bacterial stimulation, MDMs from four healthy donors were stimulated with LPS (0, 1, 10, and 100 ng/ml) in the presence of increasing concentrations of carprofen (0, 1, 10, and 100 μg/ml) for 6 hours. Supernatants were collected and IL-1β, IL-6, and TNF-α levels were measured by sandwich ELISA. Data were analysed by two-way ANOVA with carprofen concentration and LPS concentration as factors.</w:t>
      </w:r>
    </w:p>
    <w:p w:rsidR="00000000" w:rsidDel="00000000" w:rsidP="00000000" w:rsidRDefault="00000000" w:rsidRPr="00000000" w14:paraId="00000018">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absence of LPS (L0), IL-1β was undetectable across all carprofen conditions. LPS stimulation induced low but measurable IL-1β production. Two-way ANOVA revealed significant main effects of both LPS concentration (F = 7.543, </w:t>
      </w:r>
      <w:r w:rsidDel="00000000" w:rsidR="00000000" w:rsidRPr="00000000">
        <w:rPr>
          <w:i w:val="1"/>
          <w:iCs w:val="1"/>
          <w:rtl w:val="0"/>
        </w:rPr>
        <w:t xml:space="preserve">p</w:t>
      </w:r>
      <w:r w:rsidDel="00000000" w:rsidR="00000000" w:rsidRPr="00000000">
        <w:rPr>
          <w:rtl w:val="0"/>
        </w:rPr>
        <w:t xml:space="preserve"> = 0.0003) and carprofen concentration (F = 3.247, </w:t>
      </w:r>
      <w:r w:rsidDel="00000000" w:rsidR="00000000" w:rsidRPr="00000000">
        <w:rPr>
          <w:i w:val="1"/>
          <w:iCs w:val="1"/>
          <w:rtl w:val="0"/>
        </w:rPr>
        <w:t xml:space="preserve">p</w:t>
      </w:r>
      <w:r w:rsidDel="00000000" w:rsidR="00000000" w:rsidRPr="00000000">
        <w:rPr>
          <w:rtl w:val="0"/>
        </w:rPr>
        <w:t xml:space="preserve"> = 0.030), as well as a significant interaction between the two factors (F = 2.615, </w:t>
      </w:r>
      <w:r w:rsidDel="00000000" w:rsidR="00000000" w:rsidRPr="00000000">
        <w:rPr>
          <w:i w:val="1"/>
          <w:iCs w:val="1"/>
          <w:rtl w:val="0"/>
        </w:rPr>
        <w:t xml:space="preserve">p</w:t>
      </w:r>
      <w:r w:rsidDel="00000000" w:rsidR="00000000" w:rsidRPr="00000000">
        <w:rPr>
          <w:rtl w:val="0"/>
        </w:rPr>
        <w:t xml:space="preserve"> = 0.015). At the highest carprofen concentration (100 μg/ml), IL-1β levels increased with escalating LPS doses, reaching 11.16 ± 7.38 pg/ml at C100 + L100, compared with 2.43 ± 1.68 pg/ml at C0 + L100 (Figure 2A, D). This suggests a synergistic effect between high-dose carprofen and LPS on IL-1β release.</w:t>
      </w:r>
    </w:p>
    <w:p w:rsidR="00000000" w:rsidDel="00000000" w:rsidP="00000000" w:rsidRDefault="00000000" w:rsidRPr="00000000" w14:paraId="00000019">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LPS stimulation induced a robust, dose-dependent increase in IL-6 production. At L100, mean IL-6 ranged from 326.61 to 390.53 pg/ml regardless of carprofen condition. Two-way ANOVA confirmed a highly significant effect of LPS concentration (F = 28.240, </w:t>
      </w:r>
      <w:r w:rsidDel="00000000" w:rsidR="00000000" w:rsidRPr="00000000">
        <w:rPr>
          <w:i w:val="1"/>
          <w:iCs w:val="1"/>
          <w:rtl w:val="0"/>
        </w:rPr>
        <w:t xml:space="preserve">p</w:t>
      </w:r>
      <w:r w:rsidDel="00000000" w:rsidR="00000000" w:rsidRPr="00000000">
        <w:rPr>
          <w:rtl w:val="0"/>
        </w:rPr>
        <w:t xml:space="preserve"> &lt; 0.0001), but no significant effect of carprofen (F = 0.161, </w:t>
      </w:r>
      <w:r w:rsidDel="00000000" w:rsidR="00000000" w:rsidRPr="00000000">
        <w:rPr>
          <w:i w:val="1"/>
          <w:iCs w:val="1"/>
          <w:rtl w:val="0"/>
        </w:rPr>
        <w:t xml:space="preserve">p</w:t>
      </w:r>
      <w:r w:rsidDel="00000000" w:rsidR="00000000" w:rsidRPr="00000000">
        <w:rPr>
          <w:rtl w:val="0"/>
        </w:rPr>
        <w:t xml:space="preserve"> = 0.922) and no interaction (F = 0.355, </w:t>
      </w:r>
      <w:r w:rsidDel="00000000" w:rsidR="00000000" w:rsidRPr="00000000">
        <w:rPr>
          <w:i w:val="1"/>
          <w:iCs w:val="1"/>
          <w:rtl w:val="0"/>
        </w:rPr>
        <w:t xml:space="preserve">p</w:t>
      </w:r>
      <w:r w:rsidDel="00000000" w:rsidR="00000000" w:rsidRPr="00000000">
        <w:rPr>
          <w:rtl w:val="0"/>
        </w:rPr>
        <w:t xml:space="preserve"> = 0.951) (Figure 2B, E).</w:t>
      </w:r>
    </w:p>
    <w:p w:rsidR="00000000" w:rsidDel="00000000" w:rsidP="00000000" w:rsidRDefault="00000000" w:rsidRPr="00000000" w14:paraId="0000001A">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TNF-α was the most abundantly produced cytokine, with levels reaching 7389.85 ± 2428.48 pg/ml at C0 + L100. A dose-dependent increase in TNF-α with LPS concentration was confirmed by two-way ANOVA (F = 13.867, </w:t>
      </w:r>
      <w:r w:rsidDel="00000000" w:rsidR="00000000" w:rsidRPr="00000000">
        <w:rPr>
          <w:i w:val="1"/>
          <w:iCs w:val="1"/>
          <w:rtl w:val="0"/>
        </w:rPr>
        <w:t xml:space="preserve">p</w:t>
      </w:r>
      <w:r w:rsidDel="00000000" w:rsidR="00000000" w:rsidRPr="00000000">
        <w:rPr>
          <w:rtl w:val="0"/>
        </w:rPr>
        <w:t xml:space="preserve"> &lt; 0.0001). Neither the main effect of carprofen (F = 1.294, </w:t>
      </w:r>
      <w:r w:rsidDel="00000000" w:rsidR="00000000" w:rsidRPr="00000000">
        <w:rPr>
          <w:i w:val="1"/>
          <w:iCs w:val="1"/>
          <w:rtl w:val="0"/>
        </w:rPr>
        <w:t xml:space="preserve">p</w:t>
      </w:r>
      <w:r w:rsidDel="00000000" w:rsidR="00000000" w:rsidRPr="00000000">
        <w:rPr>
          <w:rtl w:val="0"/>
        </w:rPr>
        <w:t xml:space="preserve"> = 0.287) nor the interaction term (F = 0.391, </w:t>
      </w:r>
      <w:r w:rsidDel="00000000" w:rsidR="00000000" w:rsidRPr="00000000">
        <w:rPr>
          <w:i w:val="1"/>
          <w:iCs w:val="1"/>
          <w:rtl w:val="0"/>
        </w:rPr>
        <w:t xml:space="preserve">p</w:t>
      </w:r>
      <w:r w:rsidDel="00000000" w:rsidR="00000000" w:rsidRPr="00000000">
        <w:rPr>
          <w:rtl w:val="0"/>
        </w:rPr>
        <w:t xml:space="preserve"> = 0.934) was significant. A non-significant trend towards reduced TNF-α at C100 was noted (e.g. 3916.76 ± 4884.86 pg/ml at C100 + L100 versus 7389.85 ± 2428.48 pg/ml at C0 + L100), but high inter-donor variability precluded statistical significance (Figure 2C, F).</w:t>
      </w:r>
    </w:p>
    <w:p w:rsidR="00000000" w:rsidDel="00000000" w:rsidP="00000000" w:rsidRDefault="00000000" w:rsidRPr="00000000" w14:paraId="0000001B">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1C">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Cytokine production in BCG-stimulated MDMs co-treated with carprofen</w:t>
      </w:r>
      <w:r w:rsidDel="00000000" w:rsidR="00000000" w:rsidRPr="00000000">
        <w:rPr>
          <w:rtl w:val="0"/>
        </w:rPr>
      </w:r>
    </w:p>
    <w:p w:rsidR="00000000" w:rsidDel="00000000" w:rsidP="00000000" w:rsidRDefault="00000000" w:rsidRPr="00000000" w14:paraId="0000001D">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To assess the effect of carprofen on the immune response to mycobacterial challenge, MDMs were co-treated with carprofen (0, 1, 10, and 100 μg/ml) and BCG (MOI 0, 1, 10, and 100) for 6 hours.</w:t>
      </w:r>
    </w:p>
    <w:p w:rsidR="00000000" w:rsidDel="00000000" w:rsidP="00000000" w:rsidRDefault="00000000" w:rsidRPr="00000000" w14:paraId="0000001E">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BCG stimulation induced considerably lower cytokine responses compared to LPS across all three analytes. IL-1β remained largely undetectable, with sporadic low-level production at higher BCG doses (maximum: 10.83 ± 14.35 pg/ml at C10 + B100). Two-way ANOVA showed no significant effects of carprofen (F = 0.954, </w:t>
      </w:r>
      <w:r w:rsidDel="00000000" w:rsidR="00000000" w:rsidRPr="00000000">
        <w:rPr>
          <w:i w:val="1"/>
          <w:iCs w:val="1"/>
          <w:rtl w:val="0"/>
        </w:rPr>
        <w:t xml:space="preserve">p</w:t>
      </w:r>
      <w:r w:rsidDel="00000000" w:rsidR="00000000" w:rsidRPr="00000000">
        <w:rPr>
          <w:rtl w:val="0"/>
        </w:rPr>
        <w:t xml:space="preserve"> = 0.422), BCG concentration (F = 1.271, </w:t>
      </w:r>
      <w:r w:rsidDel="00000000" w:rsidR="00000000" w:rsidRPr="00000000">
        <w:rPr>
          <w:i w:val="1"/>
          <w:iCs w:val="1"/>
          <w:rtl w:val="0"/>
        </w:rPr>
        <w:t xml:space="preserve">p</w:t>
      </w:r>
      <w:r w:rsidDel="00000000" w:rsidR="00000000" w:rsidRPr="00000000">
        <w:rPr>
          <w:rtl w:val="0"/>
        </w:rPr>
        <w:t xml:space="preserve"> = 0.295), or their interaction (F = 1.089, </w:t>
      </w:r>
      <w:r w:rsidDel="00000000" w:rsidR="00000000" w:rsidRPr="00000000">
        <w:rPr>
          <w:i w:val="1"/>
          <w:iCs w:val="1"/>
          <w:rtl w:val="0"/>
        </w:rPr>
        <w:t xml:space="preserve">p</w:t>
      </w:r>
      <w:r w:rsidDel="00000000" w:rsidR="00000000" w:rsidRPr="00000000">
        <w:rPr>
          <w:rtl w:val="0"/>
        </w:rPr>
        <w:t xml:space="preserve"> = 0.388) (Figure 3A, D).</w:t>
      </w:r>
    </w:p>
    <w:p w:rsidR="00000000" w:rsidDel="00000000" w:rsidP="00000000" w:rsidRDefault="00000000" w:rsidRPr="00000000" w14:paraId="0000001F">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IL-6 levels following BCG stimulation were markedly lower than those observed with LPS, remaining below 20 pg/ml even at the highest BCG dose. Neither carprofen (F = 0.916, </w:t>
      </w:r>
      <w:r w:rsidDel="00000000" w:rsidR="00000000" w:rsidRPr="00000000">
        <w:rPr>
          <w:i w:val="1"/>
          <w:iCs w:val="1"/>
          <w:rtl w:val="0"/>
        </w:rPr>
        <w:t xml:space="preserve">p</w:t>
      </w:r>
      <w:r w:rsidDel="00000000" w:rsidR="00000000" w:rsidRPr="00000000">
        <w:rPr>
          <w:rtl w:val="0"/>
        </w:rPr>
        <w:t xml:space="preserve"> = 0.440) nor BCG concentration (F = 2.633, </w:t>
      </w:r>
      <w:r w:rsidDel="00000000" w:rsidR="00000000" w:rsidRPr="00000000">
        <w:rPr>
          <w:i w:val="1"/>
          <w:iCs w:val="1"/>
          <w:rtl w:val="0"/>
        </w:rPr>
        <w:t xml:space="preserve">p</w:t>
      </w:r>
      <w:r w:rsidDel="00000000" w:rsidR="00000000" w:rsidRPr="00000000">
        <w:rPr>
          <w:rtl w:val="0"/>
        </w:rPr>
        <w:t xml:space="preserve"> = 0.061) reached significance, though the latter showed a borderline trend towards dose-dependent induction (Figure 3B, E).</w:t>
      </w:r>
    </w:p>
    <w:p w:rsidR="00000000" w:rsidDel="00000000" w:rsidP="00000000" w:rsidRDefault="00000000" w:rsidRPr="00000000" w14:paraId="00000020">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BCG elicited a modest TNF-α response with a trend towards higher levels at increasing MOIs (maximum: 412.83 ± 730.58 pg/ml at C10 + B100), though inter-donor variability was substantial. Two-way ANOVA confirmed no significant effect of carprofen (F = 0.356, </w:t>
      </w:r>
      <w:r w:rsidDel="00000000" w:rsidR="00000000" w:rsidRPr="00000000">
        <w:rPr>
          <w:i w:val="1"/>
          <w:iCs w:val="1"/>
          <w:rtl w:val="0"/>
        </w:rPr>
        <w:t xml:space="preserve">p</w:t>
      </w:r>
      <w:r w:rsidDel="00000000" w:rsidR="00000000" w:rsidRPr="00000000">
        <w:rPr>
          <w:rtl w:val="0"/>
        </w:rPr>
        <w:t xml:space="preserve"> = 0.785), BCG concentration (F = 2.491, </w:t>
      </w:r>
      <w:r w:rsidDel="00000000" w:rsidR="00000000" w:rsidRPr="00000000">
        <w:rPr>
          <w:i w:val="1"/>
          <w:iCs w:val="1"/>
          <w:rtl w:val="0"/>
        </w:rPr>
        <w:t xml:space="preserve">p</w:t>
      </w:r>
      <w:r w:rsidDel="00000000" w:rsidR="00000000" w:rsidRPr="00000000">
        <w:rPr>
          <w:rtl w:val="0"/>
        </w:rPr>
        <w:t xml:space="preserve"> = 0.071), or their interaction (F = 0.713, </w:t>
      </w:r>
      <w:r w:rsidDel="00000000" w:rsidR="00000000" w:rsidRPr="00000000">
        <w:rPr>
          <w:i w:val="1"/>
          <w:iCs w:val="1"/>
          <w:rtl w:val="0"/>
        </w:rPr>
        <w:t xml:space="preserve">p</w:t>
      </w:r>
      <w:r w:rsidDel="00000000" w:rsidR="00000000" w:rsidRPr="00000000">
        <w:rPr>
          <w:rtl w:val="0"/>
        </w:rPr>
        <w:t xml:space="preserve"> = 0.694) (Figure 3C, F).</w:t>
      </w:r>
    </w:p>
    <w:p w:rsidR="00000000" w:rsidDel="00000000" w:rsidP="00000000" w:rsidRDefault="00000000" w:rsidRPr="00000000" w14:paraId="00000021">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22">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BCG growth assay by flow cytometry</w:t>
      </w:r>
      <w:r w:rsidDel="00000000" w:rsidR="00000000" w:rsidRPr="00000000">
        <w:rPr>
          <w:rtl w:val="0"/>
        </w:rPr>
      </w:r>
    </w:p>
    <w:p w:rsidR="00000000" w:rsidDel="00000000" w:rsidP="00000000" w:rsidRDefault="00000000" w:rsidRPr="00000000" w14:paraId="00000023">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To determine whether carprofen can directly restrict mycobacterial growth within macrophages, a BCG growth assay was performed under two treatment conditions: transient exposure, in which carprofen was present only during the initial 4-hour infection period before being replaced with drug-free media, and sustained exposure, in which carprofen was maintained continuously in the culture medium for the full 7-day assay period. This design allowed us to distinguish between the immediate bactericidal effects of carprofen and the requirement for prolonged drug exposure to control intracellular mycobacterial replication.</w:t>
      </w:r>
    </w:p>
    <w:p w:rsidR="00000000" w:rsidDel="00000000" w:rsidP="00000000" w:rsidRDefault="00000000" w:rsidRPr="00000000" w14:paraId="00000024">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25">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Uninfected controls (B0)</w:t>
      </w:r>
      <w:r w:rsidDel="00000000" w:rsidR="00000000" w:rsidRPr="00000000">
        <w:rPr>
          <w:rtl w:val="0"/>
        </w:rPr>
        <w:t xml:space="preserve"> </w:t>
      </w:r>
    </w:p>
    <w:p w:rsidR="00000000" w:rsidDel="00000000" w:rsidP="00000000" w:rsidRDefault="00000000" w:rsidRPr="00000000" w14:paraId="00000026">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absence of BCG infection, fold change values remained close to 1.0 across both treatment conditions and both the extracellular (EC) and intracellular (IC) fractions (EC media only: 1.12–1.64; EC +carprofen: 0.69–1.64; IC media only: 0.94–1.34; IC +carprofen: 0.96–1.24), confirming that neither carprofen treatment nor the 7-day culture period introduced significant changes in background fluorescence.</w:t>
      </w:r>
    </w:p>
    <w:p w:rsidR="00000000" w:rsidDel="00000000" w:rsidP="00000000" w:rsidRDefault="00000000" w:rsidRPr="00000000" w14:paraId="00000027">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28">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Extracellular BCG</w:t>
      </w:r>
      <w:r w:rsidDel="00000000" w:rsidR="00000000" w:rsidRPr="00000000">
        <w:rPr>
          <w:rtl w:val="0"/>
        </w:rPr>
      </w:r>
    </w:p>
    <w:p w:rsidR="00000000" w:rsidDel="00000000" w:rsidP="00000000" w:rsidRDefault="00000000" w:rsidRPr="00000000" w14:paraId="00000029">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media only group, extracellular BCG showed a clear dose-dependent reduction in growth at MOI B10, with fold change decreasing from 4.47 ± 1.58 (C0) to 3.01 ± 1.32 (C1), 2.47 ± 0.87 (C10), and 1.30 ± 0.17 (C100) (mean ± SEM, n = 3). This approximately 3.4-fold reduction indicates that even transient exposure to carprofen during the initial 4 hours was sufficient to inhibit subsequent extracellular BCG replication in a concentration-dependent manner. A similar trend was observed at MOI B100 (C0: 11.28 ± 8.02 to C100: 4.05 ± 1.59), although inter-donor variability was substantial at this MOI. At MOI B1, fold change values were modest (1.18–1.64) with no clear dose-dependent pattern.</w:t>
      </w:r>
    </w:p>
    <w:p w:rsidR="00000000" w:rsidDel="00000000" w:rsidP="00000000" w:rsidRDefault="00000000" w:rsidRPr="00000000" w14:paraId="0000002A">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+carprofen group, extracellular BCG fold change at MOI B10 was lower overall compared to the media only group (range: 1.55–2.49), and the dose-dependent gradient was attenuated. At MOI B100, continuous carprofen treatment similarly reduced fold change relative to the media only group (C0: 6.02 ± 2.67 vs 11.28 ± 8.02), with the highest concentration again producing the lowest fold change (C100: 1.96 ± 0.42). These results suggest that sustained carprofen exposure further suppresses extracellular BCG growth beyond the effect of initial treatment alone.</w:t>
      </w:r>
    </w:p>
    <w:p w:rsidR="00000000" w:rsidDel="00000000" w:rsidP="00000000" w:rsidRDefault="00000000" w:rsidRPr="00000000" w14:paraId="0000002B">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2C">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Intracellular BCG</w:t>
      </w:r>
    </w:p>
    <w:p w:rsidR="00000000" w:rsidDel="00000000" w:rsidP="00000000" w:rsidRDefault="00000000" w:rsidRPr="00000000" w14:paraId="0000002D">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media-only group, intracellular BCG fold change at MOI B10 showed a trend opposite to the extracellular fraction: higher carprofen concentrations during initial treatment were associated with increased intracellular fold change (C0: 1.14 ± 0.25 to C100: 2.63 ± 0.85). This may indicate that transient carprofen exposure, while restricting extracellular growth, does not inhibit — and may modestly enhance — intracellular BCG replication over the 7-day period.</w:t>
      </w:r>
    </w:p>
    <w:p w:rsidR="00000000" w:rsidDel="00000000" w:rsidP="00000000" w:rsidRDefault="00000000" w:rsidRPr="00000000" w14:paraId="0000002E">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the +carprofen group, this pattern was reversed. At MOI B10, sustained carprofen treatment at C100 markedly reduced intracellular BCG fold change to 0.68 ± 0.04, compared to 2.63 ± 0.85 in the media-only group. A similar inhibitory effect was observed at MOI B100, where fold change in the +carprofen group was consistently lower across all concentrations (range: 0.44–1.04) relative to the media only group (range: 1.07–1.67). These findings indicate that continuous carprofen treatment is required to effectively restrict intracellular BCG replication.</w:t>
      </w:r>
    </w:p>
    <w:p w:rsidR="00000000" w:rsidDel="00000000" w:rsidP="00000000" w:rsidRDefault="00000000" w:rsidRPr="00000000" w14:paraId="0000002F">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30">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Discussion</w:t>
      </w:r>
    </w:p>
    <w:p w:rsidR="00000000" w:rsidDel="00000000" w:rsidP="00000000" w:rsidRDefault="00000000" w:rsidRPr="00000000" w14:paraId="00000031">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This study examined whether carprofen, a microbicidal NSAID, modulates macrophage innate immune responses and restricts BCG growth in human MDMs. The key findings are that carprofen selectively potentiates LPS-induced IL-1β without altering IL-6 or TNF-α, and that sustained rather than transient carprofen exposure is required to control intracellular mycobacterial replication.</w:t>
      </w:r>
    </w:p>
    <w:p w:rsidR="00000000" w:rsidDel="00000000" w:rsidP="00000000" w:rsidRDefault="00000000" w:rsidRPr="00000000" w14:paraId="00000032">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Carprofen had no significant effect on IL-6 or TNF-α in LPS-stimulated MDMs, suggesting that TLR4-dependent NF-κB and MAPK signaling pathways are not substantially affected by carprofen at the concentrations tested. However, a significant carprofen × LPS interaction was observed for IL-1β (p = 0.015), with C100 µg/mL increasing LPS-induced IL-1β approximately 4.6-fold (11.16 vs 2.43 pg/mL). Since IL-1β secretion requires inflammasome-mediated caspase-1 cleavage beyond transcriptional priming [14], carprofen may enhance NLRP3 inflammasome activation, potentially through COX-independent mechanisms such as mitochondrial ROS generation [15, 16], or by relieving PGE</w:t>
      </w:r>
      <w:r w:rsidDel="00000000" w:rsidR="00000000" w:rsidRPr="00000000">
        <w:rPr>
          <w:rFonts w:ascii="Cambria Math" w:cs="Cambria Math" w:eastAsia="Cambria Math" w:hAnsi="Cambria Math"/>
          <w:rtl w:val="0"/>
        </w:rPr>
        <w:t xml:space="preserve">₂</w:t>
      </w:r>
      <w:r w:rsidDel="00000000" w:rsidR="00000000" w:rsidRPr="00000000">
        <w:rPr>
          <w:rtl w:val="0"/>
        </w:rPr>
        <w:t xml:space="preserve">-mediated inhibition of inflammasome assembly via EP2/EP4 receptors [17, 18]. This selective potentiation of IL-1β is relevant to HDT, as IL-1β is essential for early mycobacterial defence yet can drive tissue-destructive immunopathology when produced in excess [19, 20]. A non-significant trend towards reduced TNF-α at C100 µg/mL was also noted, but the small sample size (n = 4) and high inter-donor variability limited statistical power.</w:t>
      </w:r>
    </w:p>
    <w:p w:rsidR="00000000" w:rsidDel="00000000" w:rsidP="00000000" w:rsidRDefault="00000000" w:rsidRPr="00000000" w14:paraId="00000033">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BCG stimulation induced markedly weaker cytokine responses than LPS, with IL-1β largely undetectable and IL-6 remaining below 20 pg/mL. This is consistent with the known immunoevasive properties of mycobacteria, including inhibition of phagosome maturation and interference with TLR signaling [4, 21, 22]. However, the 6-hour timepoint may have been insufficient to capture the slower kinetics of mycobacterial-induced cytokine production, which typically peaks at 24–72 hours [23]. The absence of detectable carprofen effects on BCG-induced cytokines may therefore reflect a floor effect rather than a true lack of immunomodulation, and longer stimulation periods should be explored in future work.</w:t>
      </w:r>
    </w:p>
    <w:p w:rsidR="00000000" w:rsidDel="00000000" w:rsidP="00000000" w:rsidRDefault="00000000" w:rsidRPr="00000000" w14:paraId="00000034">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The BCG growth assay demonstrated that the duration of carprofen exposure critically determines its antimycobacterial efficacy. Transient exposure (4 hours) inhibited extracellular BCG growth in a dose-dependent manner (~3.4-fold reduction at C100, MOI B10), consistent with the reported direct bactericidal activity of carprofen through disruption of the mycobacterial electron transport chain [9, 10, 24]. However, transient exposure paradoxically increased intracellular BCG replication (C100: fold change 2.63 vs C0: 1.14). This may reflect reduced extracellular competition concentrating bacteria within phagosomes, or transient COX inhibition shifting eicosanoid balance in favour of intracellular survival. In contrast, sustained 7-day carprofen treatment effectively suppressed intracellular BCG (C100: fold change 0.68), indicating that continuous drug accumulation within macrophages at sites of inflammation is necessary to achieve bactericidal intracellular concentrations [25, 26]. This has direct implications for clinical HDT, where dosing regimens must maintain sustained tissue and intracellular drug levels.</w:t>
      </w:r>
    </w:p>
    <w:p w:rsidR="00000000" w:rsidDel="00000000" w:rsidP="00000000" w:rsidRDefault="00000000" w:rsidRPr="00000000" w14:paraId="00000035">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Several limitations should be noted. The small sample sizes (n = 3-4) reduced statistical power and contributed to high inter-donor variability. BCG lacks key Mtb virulence factors such as the RD1-encoded ESX-1 secretion system, which influences phagosomal escape and inflammasome activation [27, 28]; results may therefore differ with virulent Mtb. The fluorescence-based flow cytometric growth assay cannot distinguish viable from non-viable bacteria retaining residual fluorescence, and CFU-based validation would strengthen these findings. Additionally, this study examined MDMs in monoculture; the effects of carprofen on macrophage–T cell crosstalk, which is central to mycobacterial control in vivo, remain uninvestigated.</w:t>
      </w:r>
    </w:p>
    <w:p w:rsidR="00000000" w:rsidDel="00000000" w:rsidP="00000000" w:rsidRDefault="00000000" w:rsidRPr="00000000" w14:paraId="00000036">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In conclusion, carprofen demonstrates dual potential as an HDT candidate: selective enhancement of inflammasome-dependent IL-1β production and concentration-dependent inhibition of mycobacterial growth, with sustained exposure being essential for intracellular bacterial control. Future studies should validate these findings using virulent Mtb, investigate the mechanistic basis of carprofen–inflammasome interactions, and evaluate carprofen in combination with standard anti-tuberculosis drugs.</w:t>
      </w:r>
    </w:p>
    <w:p w:rsidR="00000000" w:rsidDel="00000000" w:rsidP="00000000" w:rsidRDefault="00000000" w:rsidRPr="00000000" w14:paraId="00000037">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r>
    </w:p>
    <w:p w:rsidR="00000000" w:rsidDel="00000000" w:rsidP="00000000" w:rsidRDefault="00000000" w:rsidRPr="00000000" w14:paraId="00000038">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Materials and methods </w:t>
      </w:r>
    </w:p>
    <w:p w:rsidR="00000000" w:rsidDel="00000000" w:rsidP="00000000" w:rsidRDefault="00000000" w:rsidRPr="00000000" w14:paraId="00000039">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rtl w:val="0"/>
        </w:rPr>
      </w:r>
    </w:p>
    <w:p w:rsidR="00000000" w:rsidDel="00000000" w:rsidP="00000000" w:rsidRDefault="00000000" w:rsidRPr="00000000" w14:paraId="0000003A">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Isolation of human PBMCs and macrophage differentiation</w:t>
      </w:r>
    </w:p>
    <w:p w:rsidR="00000000" w:rsidDel="00000000" w:rsidP="00000000" w:rsidRDefault="00000000" w:rsidRPr="00000000" w14:paraId="0000003B">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Peripheral blood samples (120ml) were obtained from healthy adult donors under UCL ethical approval. PBMCs were isolated by Ficoll density-gradient centrifugation and resuspended in RPMI-1640(Gibco, Cat#21875-034) supplemented with 10% heat-inactivated FBS (Sigma-Aldrich, Cat#12103C-100ML) and penicillin–streptomycin (Gibco, Cat#15070-063). Monocytes were enriched by adherence (2 h, 37 °C, 5% CO</w:t>
      </w:r>
      <w:r w:rsidDel="00000000" w:rsidR="00000000" w:rsidRPr="00000000">
        <w:rPr>
          <w:rFonts w:ascii="Cambria Math" w:cs="Cambria Math" w:eastAsia="Cambria Math" w:hAnsi="Cambria Math"/>
          <w:rtl w:val="0"/>
        </w:rPr>
        <w:t xml:space="preserve">₂</w:t>
      </w:r>
      <w:r w:rsidDel="00000000" w:rsidR="00000000" w:rsidRPr="00000000">
        <w:rPr>
          <w:rtl w:val="0"/>
        </w:rPr>
        <w:t xml:space="preserve">), washed with DPBS (Gibco, Cat#14190-094), and differentiated into monocyte-derived macrophages (MDMs) using RPMI-1640 containing 10% autologous serum and M-CSF (R&amp;D Systems, Cat#216-MC-025). Cells were maintained in macrophage adhesion/maintenance medium as required. (Cell seeding density: 5x10</w:t>
      </w:r>
      <w:r w:rsidDel="00000000" w:rsidR="00000000" w:rsidRPr="00000000">
        <w:rPr>
          <w:vertAlign w:val="superscript"/>
          <w:rtl w:val="0"/>
        </w:rPr>
        <w:t xml:space="preserve">6</w:t>
      </w:r>
      <w:r w:rsidDel="00000000" w:rsidR="00000000" w:rsidRPr="00000000">
        <w:rPr>
          <w:rtl w:val="0"/>
        </w:rPr>
        <w:t xml:space="preserve"> PBMCs/ml)</w:t>
      </w:r>
    </w:p>
    <w:p w:rsidR="00000000" w:rsidDel="00000000" w:rsidP="00000000" w:rsidRDefault="00000000" w:rsidRPr="00000000" w14:paraId="0000003C">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rtl w:val="0"/>
        </w:rPr>
      </w:r>
    </w:p>
    <w:p w:rsidR="00000000" w:rsidDel="00000000" w:rsidP="00000000" w:rsidRDefault="00000000" w:rsidRPr="00000000" w14:paraId="0000003D">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Bacterial culture and preparation</w:t>
      </w:r>
      <w:r w:rsidDel="00000000" w:rsidR="00000000" w:rsidRPr="00000000">
        <w:rPr>
          <w:rtl w:val="0"/>
        </w:rPr>
      </w:r>
    </w:p>
    <w:p w:rsidR="00000000" w:rsidDel="00000000" w:rsidP="00000000" w:rsidRDefault="00000000" w:rsidRPr="00000000" w14:paraId="0000003E">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Mycobacterium bovis bacillus Calmette–Guérin (BCG) expressing fluorescent reporters (dsRED) was cultured in Middlebrook 7H9 broth (BD Difco, Cat#2271310) supplemented with ADC enrichment (BD BBL, Cat#211887), 0.2% glycerol (Sigma-Aldrich, Cat#2025-500ML), and 0.05% Tween-80(Sigma-Aldrich, Cat#P1754-500ML) at 37 °C with shaking until mid-logarithmic phase (OD</w:t>
      </w:r>
      <w:r w:rsidDel="00000000" w:rsidR="00000000" w:rsidRPr="00000000">
        <w:rPr>
          <w:vertAlign w:val="subscript"/>
          <w:rtl w:val="0"/>
        </w:rPr>
        <w:t xml:space="preserve">600</w:t>
      </w:r>
      <w:sdt>
        <w:sdtPr>
          <w:id w:val="-31453260"/>
          <w:tag w:val="goog_rdk_0"/>
        </w:sdtPr>
        <w:sdtContent>
          <w:r w:rsidDel="00000000" w:rsidR="00000000" w:rsidRPr="00000000">
            <w:rPr>
              <w:rFonts w:ascii="Arial Unicode MS" w:cs="Arial Unicode MS" w:eastAsia="Arial Unicode MS" w:hAnsi="Arial Unicode MS"/>
              <w:rtl w:val="0"/>
            </w:rPr>
            <w:t xml:space="preserve"> ≈ 0.4-0.6). Before infection, bacterial cultures were centrifuged and washed with PBS containing 0.05% Tween-80 (PBST). Bacterial suspensions were resuspended in macrophage culture medium.</w:t>
          </w:r>
        </w:sdtContent>
      </w:sdt>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Infection of macrophages with BCG</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Differentiated MDMs (day 7) were infected with BCG at multiplicities of infection (MOI) of 1, 10, or 100. Bacterial suspensions were added to macrophage cultures and incubated for 4 h at 37 °C. Following infection, extracellular bacteria were removed by washing three times with warm DPBS. Fresh antibiotic-free MDM adhesion/maintenance media were then added to each well for subsequent treatments and assays.</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Carprofen treatment </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Carprofen (stock 50mg/mL in DMSO) was diluted in macrophage culture medium to final concentrations of 0, 2, 20, and 200 µg/mL.</w:t>
      </w:r>
      <w:r w:rsidDel="00000000" w:rsidR="00000000" w:rsidRPr="00000000">
        <w:rPr>
          <w:rFonts w:ascii="SimSun" w:cs="SimSun" w:eastAsia="SimSun" w:hAnsi="SimSu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Carprofen was prepared at 2× concentrations (0, 2, 20, 200 µg/mL) and diluted 1:1 with culture medium to achieve final concentrations of 0, 1, 10, and 100 µg/mL. Vehicle controls received equivalent DMSO volumes. Carprofen was added after the 4h infection and wash step, and cells were maintained under treatment conditions until sample collection.</w:t>
      </w:r>
    </w:p>
    <w:p w:rsidR="00000000" w:rsidDel="00000000" w:rsidP="00000000" w:rsidRDefault="00000000" w:rsidRPr="00000000" w14:paraId="00000045">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rtl w:val="0"/>
        </w:rPr>
      </w:r>
    </w:p>
    <w:p w:rsidR="00000000" w:rsidDel="00000000" w:rsidP="00000000" w:rsidRDefault="00000000" w:rsidRPr="00000000" w14:paraId="00000046">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Cytokine quantification by ELISA</w:t>
      </w:r>
      <w:r w:rsidDel="00000000" w:rsidR="00000000" w:rsidRPr="00000000">
        <w:rPr>
          <w:rtl w:val="0"/>
        </w:rPr>
        <w:t xml:space="preserve"> </w:t>
      </w:r>
    </w:p>
    <w:p w:rsidR="00000000" w:rsidDel="00000000" w:rsidP="00000000" w:rsidRDefault="00000000" w:rsidRPr="00000000" w14:paraId="00000047">
      <w:pPr>
        <w:tabs>
          <w:tab w:val="left" w:leader="none" w:pos="2394"/>
          <w:tab w:val="center" w:leader="none" w:pos="4320"/>
          <w:tab w:val="right" w:leader="none" w:pos="8640"/>
          <w:tab w:val="left" w:leader="none" w:pos="2394"/>
          <w:tab w:val="center" w:leader="none" w:pos="4320"/>
          <w:tab w:val="right" w:leader="none" w:pos="8640"/>
        </w:tabs>
        <w:rPr/>
      </w:pPr>
      <w:sdt>
        <w:sdtPr>
          <w:id w:val="-876222931"/>
          <w:tag w:val="goog_rdk_1"/>
        </w:sdtPr>
        <w:sdtContent>
          <w:r w:rsidDel="00000000" w:rsidR="00000000" w:rsidRPr="00000000">
            <w:rPr>
              <w:rFonts w:ascii="Arial Unicode MS" w:cs="Arial Unicode MS" w:eastAsia="Arial Unicode MS" w:hAnsi="Arial Unicode MS"/>
              <w:rtl w:val="0"/>
            </w:rPr>
            <w:t xml:space="preserve">For inflammatory readouts, MDMs were stimulated with LPS (from Escherichia coli O111</w:t>
            <w:br w:type="textWrapping"/>
            <w:t xml:space="preserve">: B4; Sigma-Aldrich) or infected with BCG in parallel plates. Supernatants were collected 6 h post-stimulation/infection and stored at −80 °C. IL-1β, IL-6, and TNF-α were measured using Thermo Fisher ELISA kits following manufacturer instructions; LPS served as a positive control for macrophage activation. </w:t>
          </w:r>
        </w:sdtContent>
      </w:sdt>
    </w:p>
    <w:p w:rsidR="00000000" w:rsidDel="00000000" w:rsidP="00000000" w:rsidRDefault="00000000" w:rsidRPr="00000000" w14:paraId="00000048">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rtl w:val="0"/>
        </w:rPr>
      </w:r>
    </w:p>
    <w:p w:rsidR="00000000" w:rsidDel="00000000" w:rsidP="00000000" w:rsidRDefault="00000000" w:rsidRPr="00000000" w14:paraId="00000049">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b w:val="1"/>
          <w:bCs w:val="1"/>
          <w:rtl w:val="0"/>
        </w:rPr>
        <w:t xml:space="preserve">BCG baseline and growth quantified by flow cytometry</w:t>
      </w:r>
      <w:r w:rsidDel="00000000" w:rsidR="00000000" w:rsidRPr="00000000">
        <w:rPr>
          <w:rtl w:val="0"/>
        </w:rPr>
      </w:r>
    </w:p>
    <w:p w:rsidR="00000000" w:rsidDel="00000000" w:rsidP="00000000" w:rsidRDefault="00000000" w:rsidRPr="00000000" w14:paraId="0000004A">
      <w:pPr>
        <w:tabs>
          <w:tab w:val="left" w:leader="none" w:pos="2394"/>
          <w:tab w:val="center" w:leader="none" w:pos="4320"/>
          <w:tab w:val="right" w:leader="none" w:pos="8640"/>
          <w:tab w:val="left" w:leader="none" w:pos="2394"/>
          <w:tab w:val="center" w:leader="none" w:pos="4320"/>
          <w:tab w:val="right" w:leader="none" w:pos="8640"/>
        </w:tabs>
        <w:rPr/>
      </w:pPr>
      <w:r w:rsidDel="00000000" w:rsidR="00000000" w:rsidRPr="00000000">
        <w:rPr>
          <w:rtl w:val="0"/>
        </w:rPr>
        <w:t xml:space="preserve">Baseline bacterial burden was assessed at 4 h post-infection by collecting extracellular bacteria (EC) from supernatants and intracellular bacteria (IC) after macrophage lysis (sterile water + 0.05% Tween-80). EC/IC fractions were fixed (1:1 with 8% PFA (Sigma-Aldrich, Cat#P6148-1KG), 15 min; final 4% PFA), centrifuged, resuspended in FACS buffer, and protected from light until acquisition. For growth assays, infected MDMs (± carprofen) were maintained for 7 days and EC/IC were processed identically. Samples were acquired on a BD LSR Fortessa; absolute bacterial events were quantified using CountBright counting beads (Invitrogen, cat# C36950) (25 µL/sample) and dsRED signal was detected in the PE channel.</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Statistical analysis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statistical analyses were performed using RStudio. Two-way ANOVA with carprofen and stimulus as factors. Experiments were performed using MDMs from four (ELISA) or three (BCG growth assay) independent healthy donors. Data are presented as mean ±</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SEM.</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Acknowledgements</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would like to thank Prof Mahdad Noursadeghi’s group for hosting me for this project. All members of the lab were very welcoming and made this a supportive and enjoyable environment to work in. I am especially grateful to Ana Isabel Fernandes and Jacklyn Hyder, who helped me the most throughout this project. Their guidance, patience and constant support were invaluable.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53">
      <w:pPr>
        <w:tabs>
          <w:tab w:val="left" w:leader="none" w:pos="2394"/>
          <w:tab w:val="center" w:leader="none" w:pos="4320"/>
          <w:tab w:val="right" w:leader="none" w:pos="8640"/>
          <w:tab w:val="left" w:leader="none" w:pos="2394"/>
          <w:tab w:val="center" w:leader="none" w:pos="4320"/>
          <w:tab w:val="right" w:leader="none" w:pos="8640"/>
        </w:tabs>
        <w:rPr>
          <w:b w:val="1"/>
          <w:bCs w:val="1"/>
        </w:rPr>
      </w:pPr>
      <w:r w:rsidDel="00000000" w:rsidR="00000000" w:rsidRPr="00000000">
        <w:rPr>
          <w:b w:val="1"/>
          <w:bCs w:val="1"/>
          <w:rtl w:val="0"/>
        </w:rPr>
        <w:t xml:space="preserve">References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tab/>
        <w:t xml:space="preserve">Horsburgh, C.R., C.E. Barry, and C. Lange,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Treatment of Tuberculosis.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New England Journal of Medicine, 2015. 373(22): p. 2149-2160.</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w:t>
        <w:tab/>
        <w:t xml:space="preserve">Sartain, M.J., et al., Lipidomic analyses of Mycobacterium tuberculosis based on accurate mass measurements and the novel “Mtb LipidDB”[S]. Journal of Lipid Research, 2011.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p. 861-872.</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w:t>
        <w:tab/>
        <w:t xml:space="preserve">Houben, R.M. and P.J. Dodd, The Global Burden of Latent Tuberculosis Infection: A Re-estimation Using Mathematical Modelling. PLoS Med, 2016.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p. e1002152.</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w:t>
        <w:tab/>
        <w:t xml:space="preserve">Chandra, P., S.J. Grigsby, and J.A. Philips,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Immune evasion and provocation by Mycobacterium tuberculosis.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Nature Reviews Microbiology, 2022.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 750-766.</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w:t>
        <w:tab/>
        <w:t xml:space="preserve">Kayongo, A., et al., Mechanisms of lung damage in tuberculosis: implications for chronic obstructive pulmonary disease. Front Cell Infect Microbiol, 2023.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 1146571.</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w:t>
        <w:tab/>
        <w:t xml:space="preserve">Li, J., et al., Host-directed therapeutic targets in macrophages and their ligands against mycobacteria tuberculosis. Infect Immun, 2025.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p. e0006325.</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w:t>
        <w:tab/>
        <w:t xml:space="preserve">Paes Leme, R.C. and R.B. da Silva, Antimicrobial Activity of Non-steroidal Anti-inflammatory Drugs on Biofilm: Current Evidence and Potential for Drug Repurposing. Front Microbiol, 2021.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 707629.</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w:t>
        <w:tab/>
        <w:t xml:space="preserve">Kroesen, V.M., et al., Non-Steroidal Anti-inflammatory Drugs As Host-Directed Therapy for Tuberculosis: A Systematic Review. Frontiers in Immunology, 2017.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w:t>
        <w:tab/>
        <w:t xml:space="preserve">Daniel, C. and S. Bhakta, Immunobiology of tubercle bacilli and prospects of immunomodulatory drugs to tackle tuberculosis (TB) and other non-tubercular mycobacterial infections. Immunobiology, 2022.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227</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 152224.</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w:t>
        <w:tab/>
        <w:t xml:space="preserve">Iqbal, I.K., et al., Bioenergetics of Mycobacterium: An Emerging Landscape for Drug Discovery. Pathogens, 2018.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w:t>
        <w:tab/>
        <w:t xml:space="preserve">Maitra, A., et al., Repurposing drugs for treatment of tuberculosis: a role for non-steroidal anti-inflammatory drugs. Br Med Bull, 2016.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118</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 138-48.</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w:t>
        <w:tab/>
        <w:t xml:space="preserve">Tian, N.,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Host-directed therapy for tuberculosis.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Eur J Med Res, 2025.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 267.</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w:t>
        <w:tab/>
        <w:t xml:space="preserve">Gunaydin, C. and S.S. Bilge,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Effects of Nonsteroidal Anti-Inflammatory Drugs at the Molecular Level.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Eurasian J Med, 2018.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50</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 116-121.</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w:t>
        <w:tab/>
        <w:t xml:space="preserve">Swanson, K.V., M. Deng, and J.P. Ting,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The NLRP3 inflammasome: molecular activation and regulation to therapeutics.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 Rev Immunol, 2019.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 477-489.</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w:t>
        <w:tab/>
        <w:t xml:space="preserve">Somasundaram, S.,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Mitochondrial damage: a possible mechanism of the "topical" phase of NSAID induced injury to the rat intestine.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Gut, 1997.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 344-353.</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w:t>
        <w:tab/>
        <w:t xml:space="preserve">Zhou, R.,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A role for mitochondria in NLRP3 inflammasome activation.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Nature, 2011.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469</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(7329): p. 221-225.</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w:t>
        <w:tab/>
        <w:t xml:space="preserve">Sokolowska, M.,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Prostaglandin E2 inhibits NLRP3 inflammasome activation through EP4 receptor and intracellular cyclic AMP in human macrophages.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 Immunol, 2015.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 5472-5487.</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w:t>
        <w:tab/>
        <w:t xml:space="preserve">Mortimer, L.,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NLRP3 inflammasome inhibition is disrupted in a group of auto-inflammatory disease CAPS mutations.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 Immunol, 2016.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p. 1176-1186.</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19.</w:t>
        <w:tab/>
        <w:t xml:space="preserve">Mishra, B.B.,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Nitric oxide controls the immunopathology of tuberculosis by inhibiting NLRP3 inflammasome-dependent processing of IL-1β.</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 Immunol, 2013.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 52-60.</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20.</w:t>
        <w:tab/>
        <w:t xml:space="preserve">Mayer-Barber, K.D.,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Host-directed therapy of tuberculosis based on interleukin-1 and type I interferon crosstalk.</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Nature, 2014.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511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(7507): p. 99-103.</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w:t>
        <w:tab/>
        <w:t xml:space="preserve">Pieters, J.,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Mycobacterium tuberculosis and the macrophage: maintaining a balance.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Cell Host Microbe, 2008.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p. 399-407.</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w:t>
        <w:tab/>
        <w:t xml:space="preserve">Russell, D.G.,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Mycobacterium tuberculosis: here today, and here tomorrow.</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Nat Rev Mol Cell Biol, 2001.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 569-577.</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w:t>
        <w:tab/>
        <w:t xml:space="preserve">Giacomini, E.,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Infection of human macrophages and dendritic cells with Mycobacterium tuberculosis induces a differential cytokine gene expression that modulates T cell response.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 Immunol, 2001.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p. 7033-7041.</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w:t>
        <w:tab/>
        <w:t xml:space="preserve">Maitra, A.,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Carprofen elicits pleiotropic mechanisms of bactericidal action with the potential to reverse antimicrobial drug resistance in tuberculosis.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 Antimicrob Chemother, 2020.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75</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 3194-3201.</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w:t>
        <w:tab/>
        <w:t xml:space="preserve">Lees, P.,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Pharmacodynamics and pharmacokinetics of nonsteroidal anti-inflammatory drugs in species of veterinary interest.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 Vet Pharmacol Ther, 2004.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p. 479-490.</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w:t>
        <w:tab/>
        <w:t xml:space="preserve">Graf, P., M. Glatt, and K. Brune,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Acidic nonsteroid anti-inflammatory drugs accumulating in inflamed tissue.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Experientia, 1975.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 951-953.</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w:t>
        <w:tab/>
        <w:t xml:space="preserve">Pym, A.S.,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Loss of RD1 contributed to the attenuation of the live tuberculosis vaccines Mycobacterium bovis BCG and Mycobacterium microti.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Mol Microbiol, 2002.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46</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 709-717.</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w:t>
        <w:tab/>
        <w:t xml:space="preserve">Houben, D., et al., </w:t>
      </w: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ESX-1-mediated translocation to the cytosol controls virulence of mycobacteria.</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Cell Microbiol, 2012.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(8): p. 1287-1298.</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Figure1</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Mechanism</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Figure2 </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101200" cy="3690000"/>
            <wp:effectExtent b="0" l="0" r="0" t="0"/>
            <wp:docPr descr="图示  AI 生成的内容可能不正确。" id="1880033984" name="image2.png"/>
            <a:graphic>
              <a:graphicData uri="http://schemas.openxmlformats.org/drawingml/2006/picture">
                <pic:pic>
                  <pic:nvPicPr>
                    <pic:cNvPr descr="图示  AI 生成的内容可能不正确。" id="0" name="image2.png"/>
                    <pic:cNvPicPr preferRelativeResize="0"/>
                  </pic:nvPicPr>
                  <pic:blipFill>
                    <a:blip r:embed="rId7"/>
                    <a:srcRect b="7098" l="0" r="0" t="8517"/>
                    <a:stretch>
                      <a:fillRect/>
                    </a:stretch>
                  </pic:blipFill>
                  <pic:spPr>
                    <a:xfrm>
                      <a:off x="0" y="0"/>
                      <a:ext cx="5101200" cy="36900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158800" cy="2898000"/>
            <wp:effectExtent b="0" l="0" r="0" t="0"/>
            <wp:docPr descr="图表, 图示  AI 生成的内容可能不正确。" id="1880033986" name="image3.png"/>
            <a:graphic>
              <a:graphicData uri="http://schemas.openxmlformats.org/drawingml/2006/picture">
                <pic:pic>
                  <pic:nvPicPr>
                    <pic:cNvPr descr="图表, 图示  AI 生成的内容可能不正确。" id="0" name="image3.png"/>
                    <pic:cNvPicPr preferRelativeResize="0"/>
                  </pic:nvPicPr>
                  <pic:blipFill>
                    <a:blip r:embed="rId8"/>
                    <a:srcRect b="0" l="0" r="0" t="8299"/>
                    <a:stretch>
                      <a:fillRect/>
                    </a:stretch>
                  </pic:blipFill>
                  <pic:spPr>
                    <a:xfrm>
                      <a:off x="0" y="0"/>
                      <a:ext cx="5158800" cy="28980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Figure 2. Effect of carprofen on LPS-induced cytokine production in human MDMs.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 IL-1β (A), IL-6 (B), and TNF-α (C) concentrations (pg/mL) in supernatants from four individual donors stimulated with LPS (0, 1, 10, or 100 ng/mL) in the presence of increasing carprofen concentrations (0, 1, 10, or 100 µg/mL). Each column represents one donor. Lines represent dose–response curves fitted by linear regression in log–log space with 95% confidence intervals (shaded); dashed lines connect available data points for dose groups where curve fitting was not possible (n &lt; 4). (D–F) Mean cytokine levels across all four donors for IL-1β (D), IL-6 (E), and TNF-α (F); individual donor values are overlaid as points. Two-way ANOVA results (factors: carprofen concentration × LPS dose) are shown below each panel. n.s., not significant.</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Figure3</w:t>
      </w:r>
    </w:p>
    <w:p w:rsidR="00000000" w:rsidDel="00000000" w:rsidP="00000000" w:rsidRDefault="00000000" w:rsidRPr="00000000" w14:paraId="0000008E">
      <w:pPr>
        <w:tabs>
          <w:tab w:val="left" w:leader="none" w:pos="2394"/>
          <w:tab w:val="center" w:leader="none" w:pos="4320"/>
          <w:tab w:val="right" w:leader="none" w:pos="8640"/>
          <w:tab w:val="left" w:leader="none" w:pos="2394"/>
          <w:tab w:val="center" w:leader="none" w:pos="4320"/>
          <w:tab w:val="right" w:leader="none" w:pos="8640"/>
        </w:tabs>
        <w:spacing w:after="0" w:before="0" w:lineRule="auto"/>
        <w:jc w:val="center"/>
        <w:rPr/>
      </w:pPr>
      <w:r w:rsidDel="00000000" w:rsidR="00000000" w:rsidRPr="00000000">
        <w:rPr>
          <w:rtl w:val="0"/>
        </w:rPr>
        <w:br w:type="textWrapping"/>
      </w:r>
      <w:r w:rsidDel="00000000" w:rsidR="00000000" w:rsidRPr="00000000">
        <w:rPr/>
        <w:drawing>
          <wp:inline distB="0" distT="0" distL="0" distR="0">
            <wp:extent cx="5225888" cy="3773169"/>
            <wp:effectExtent b="0" l="0" r="0" t="0"/>
            <wp:docPr descr="图示, 工程绘图  AI 生成的内容可能不正确。" id="1880033985" name="image4.png"/>
            <a:graphic>
              <a:graphicData uri="http://schemas.openxmlformats.org/drawingml/2006/picture">
                <pic:pic>
                  <pic:nvPicPr>
                    <pic:cNvPr descr="图示, 工程绘图  AI 生成的内容可能不正确。" id="0" name="image4.png"/>
                    <pic:cNvPicPr preferRelativeResize="0"/>
                  </pic:nvPicPr>
                  <pic:blipFill>
                    <a:blip r:embed="rId9"/>
                    <a:srcRect b="6143" l="0" r="0" t="8899"/>
                    <a:stretch>
                      <a:fillRect/>
                    </a:stretch>
                  </pic:blipFill>
                  <pic:spPr>
                    <a:xfrm>
                      <a:off x="0" y="0"/>
                      <a:ext cx="5225888" cy="3773169"/>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5158800" cy="2858400"/>
            <wp:effectExtent b="0" l="0" r="0" t="0"/>
            <wp:docPr descr="图表  AI 生成的内容可能不正确。" id="1880033988" name="image1.png"/>
            <a:graphic>
              <a:graphicData uri="http://schemas.openxmlformats.org/drawingml/2006/picture">
                <pic:pic>
                  <pic:nvPicPr>
                    <pic:cNvPr descr="图表  AI 生成的内容可能不正确。" id="0" name="image1.png"/>
                    <pic:cNvPicPr preferRelativeResize="0"/>
                  </pic:nvPicPr>
                  <pic:blipFill>
                    <a:blip r:embed="rId10"/>
                    <a:srcRect b="0" l="0" r="0" t="9374"/>
                    <a:stretch>
                      <a:fillRect/>
                    </a:stretch>
                  </pic:blipFill>
                  <pic:spPr>
                    <a:xfrm>
                      <a:off x="0" y="0"/>
                      <a:ext cx="5158800" cy="28584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center"/>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110" w:right="0" w:hanging="357"/>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Figure 3. Effect of carprofen on BCG-induced cytokine production in human MDMs.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110" w:right="0" w:hanging="357"/>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 IL-1β (A), IL-6 (B), and TNF-α (C) concentrations (pg/mL) in supernatants from four individual donors stimulated with BCG (MOI 0, 1, 10, or 100) in the presence of increasing carprofen concentrations (0, 1, 10, or 100 µg/mL). Each column represents one donor. Lines represent dose–response curves with 95% confidence intervals (shaded); dashed lines connect available data points where curve fitting was not possible (n &lt; 4). (D–F) Mean cytokine levels across all four donors for IL-1β (D), IL-6 (E), and TNF-α (F); individual donor values are overlaid as points. Two-way ANOVA results (factors: carprofen concentration × BCG MOI) are shown below each panel. n.s., not significant.</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b w:val="1"/>
          <w:bCs w:val="1"/>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Figure4</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6120765" cy="3955473"/>
            <wp:effectExtent b="0" l="0" r="0" t="0"/>
            <wp:docPr descr="图表, 条形图, 箱线图  AI 生成的内容可能不正确。" id="1880033987" name="image5.png"/>
            <a:graphic>
              <a:graphicData uri="http://schemas.openxmlformats.org/drawingml/2006/picture">
                <pic:pic>
                  <pic:nvPicPr>
                    <pic:cNvPr descr="图表, 条形图, 箱线图  AI 生成的内容可能不正确。" id="0" name="image5.png"/>
                    <pic:cNvPicPr preferRelativeResize="0"/>
                  </pic:nvPicPr>
                  <pic:blipFill>
                    <a:blip r:embed="rId11"/>
                    <a:srcRect b="0" l="0" r="0" t="7305"/>
                    <a:stretch>
                      <a:fillRect/>
                    </a:stretch>
                  </pic:blipFill>
                  <pic:spPr>
                    <a:xfrm>
                      <a:off x="0" y="0"/>
                      <a:ext cx="6120765" cy="3955473"/>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357" w:right="0" w:hanging="357"/>
        <w:jc w:val="left"/>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94"/>
          <w:tab w:val="center" w:leader="none" w:pos="4320"/>
          <w:tab w:val="right" w:leader="none" w:pos="8640"/>
          <w:tab w:val="left" w:leader="none" w:pos="2394"/>
          <w:tab w:val="center" w:leader="none" w:pos="4320"/>
          <w:tab w:val="right" w:leader="none" w:pos="8640"/>
        </w:tabs>
        <w:spacing w:after="0" w:before="0" w:line="240" w:lineRule="auto"/>
        <w:ind w:left="110" w:right="0" w:hanging="357"/>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Figure 4. Effect of carprofen on BCG growth in human MDMs. </w:t>
      </w:r>
      <w:r w:rsidDel="00000000" w:rsidR="00000000" w:rsidRPr="00000000">
        <w:rPr>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Fold change in extracellular (EC; A–D) and intracellular (IC; E–H) BCG burden at 7 days post-infection (dpi) relative to 4 hours post-infection (hpi), as measured by flow cytometry. MDMs were left untreated (Media only, blue) or supplemented with carprofen (+Carprofen, red) at 0, 1, 10, or 100 µg/mL. BCG was added at MOI 0 (A, E), MOI 1 (B, F), MOI 10 (C, G), or MOI 100 (D, H). Bars represent mean ± SEM (n = 3 donors per group); individual donor values are shown as dots. Dashed line at y = 1 indicates no net change from baseline.</w:t>
      </w:r>
    </w:p>
    <w:sectPr>
      <w:pgSz w:h="16840" w:w="11907" w:orient="portrait"/>
      <w:pgMar w:bottom="1134" w:top="1134" w:left="1134" w:right="113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SimSun"/>
  <w:font w:name="Cambria Math">
    <w:embedRegular w:fontKey="{00000000-0000-0000-0000-000000000000}" r:id="rId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tabs>
          <w:tab w:val="left" w:leader="none" w:pos="2394"/>
          <w:tab w:val="center" w:leader="none" w:pos="4320"/>
          <w:tab w:val="right" w:leader="none" w:pos="8640"/>
        </w:tabs>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Bdr>
        <w:bottom w:color="000000" w:space="1" w:sz="8" w:val="single"/>
      </w:pBdr>
      <w:spacing w:before="240" w:lineRule="auto"/>
    </w:pPr>
    <w:rPr>
      <w:b w:val="1"/>
      <w:bCs w:val="1"/>
    </w:rPr>
  </w:style>
  <w:style w:type="paragraph" w:styleId="Heading2">
    <w:name w:val="heading 2"/>
    <w:basedOn w:val="Normal"/>
    <w:next w:val="Normal"/>
    <w:pPr>
      <w:keepNext w:val="1"/>
      <w:shd w:fill="dbe5f1" w:val="clear"/>
    </w:pPr>
    <w:rPr>
      <w:b w:val="1"/>
      <w:bCs w:val="1"/>
    </w:rPr>
  </w:style>
  <w:style w:type="paragraph" w:styleId="Heading3">
    <w:name w:val="heading 3"/>
    <w:basedOn w:val="Normal"/>
    <w:next w:val="Normal"/>
    <w:pPr>
      <w:keepNext w:val="1"/>
    </w:pPr>
    <w:rPr>
      <w:b w:val="1"/>
      <w:bCs w:val="1"/>
    </w:rPr>
  </w:style>
  <w:style w:type="paragraph" w:styleId="Heading4">
    <w:name w:val="heading 4"/>
    <w:basedOn w:val="Normal"/>
    <w:next w:val="Normal"/>
    <w:pPr>
      <w:keepNext w:val="1"/>
      <w:keepLines w:val="1"/>
    </w:pPr>
    <w:rPr>
      <w:b w:val="1"/>
      <w:bCs w:val="1"/>
      <w:i w:val="1"/>
      <w:iCs w:val="1"/>
    </w:rPr>
  </w:style>
  <w:style w:type="paragraph" w:styleId="Heading5">
    <w:name w:val="heading 5"/>
    <w:basedOn w:val="Normal"/>
    <w:next w:val="Normal"/>
    <w:pPr>
      <w:keepNext w:val="1"/>
      <w:keepLines w:val="1"/>
      <w:spacing w:after="0" w:before="40" w:lineRule="auto"/>
    </w:pPr>
    <w:rPr>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a2" w:default="1">
    <w:name w:val="Default Paragraph Font"/>
    <w:uiPriority w:val="1"/>
    <w:semiHidden w:val="1"/>
    <w:unhideWhenUsed w:val="1"/>
  </w:style>
  <w:style w:type="table" w:styleId="a3" w:default="1">
    <w:name w:val="Normal Table"/>
    <w:uiPriority w:val="99"/>
    <w:semiHidden w:val="1"/>
    <w:unhideWhenUsed w:val="1"/>
    <w:tblPr>
      <w:tblInd w:w="0.0" w:type="dxa"/>
      <w:tblCellMar>
        <w:top w:w="0.0" w:type="dxa"/>
        <w:left w:w="108.0" w:type="dxa"/>
        <w:bottom w:w="0.0" w:type="dxa"/>
        <w:right w:w="108.0" w:type="dxa"/>
      </w:tblCellMar>
    </w:tblPr>
  </w:style>
  <w:style w:type="numbering" w:styleId="a4" w:default="1">
    <w:name w:val="No List"/>
    <w:uiPriority w:val="99"/>
    <w:semiHidden w:val="1"/>
    <w:unhideWhenUsed w:val="1"/>
  </w:style>
  <w:style w:type="paragraph" w:styleId="2">
    <w:name w:val="List Number 2"/>
    <w:basedOn w:val="a1"/>
    <w:pPr>
      <w:numPr>
        <w:numId w:val="1"/>
      </w:numPr>
      <w:contextualSpacing w:val="1"/>
    </w:pPr>
  </w:style>
  <w:style w:type="paragraph" w:styleId="a">
    <w:name w:val="List Number"/>
    <w:basedOn w:val="a1"/>
    <w:pPr>
      <w:numPr>
        <w:numId w:val="2"/>
      </w:numPr>
      <w:ind w:left="357" w:hanging="357"/>
    </w:pPr>
  </w:style>
  <w:style w:type="paragraph" w:styleId="a0">
    <w:name w:val="List Bullet"/>
    <w:basedOn w:val="a1"/>
    <w:pPr>
      <w:numPr>
        <w:numId w:val="3"/>
      </w:numPr>
      <w:contextualSpacing w:val="1"/>
    </w:pPr>
  </w:style>
  <w:style w:type="paragraph" w:styleId="a5">
    <w:name w:val="Block Text"/>
    <w:basedOn w:val="a1"/>
    <w:pPr>
      <w:pBdr>
        <w:top w:color="4f81bd" w:space="10" w:sz="2" w:themeColor="accent1" w:val="single"/>
        <w:left w:color="4f81bd" w:space="10" w:sz="2" w:themeColor="accent1" w:val="single"/>
        <w:bottom w:color="4f81bd" w:space="10" w:sz="2" w:themeColor="accent1" w:val="single"/>
        <w:right w:color="4f81bd" w:space="10" w:sz="2" w:themeColor="accent1" w:val="single"/>
      </w:pBdr>
      <w:spacing w:after="0" w:before="0"/>
    </w:pPr>
    <w:rPr>
      <w:rFonts w:cstheme="minorBidi" w:eastAsiaTheme="minorEastAsia"/>
      <w:iCs w:val="1"/>
    </w:rPr>
  </w:style>
  <w:style w:type="paragraph" w:styleId="20">
    <w:name w:val="List Bullet 2"/>
    <w:basedOn w:val="a1"/>
    <w:autoRedefine w:val="1"/>
    <w:qFormat w:val="1"/>
    <w:pPr>
      <w:numPr>
        <w:numId w:val="4"/>
      </w:numPr>
      <w:contextualSpacing w:val="1"/>
    </w:pPr>
  </w:style>
  <w:style w:type="paragraph" w:styleId="a6">
    <w:name w:val="footer"/>
    <w:basedOn w:val="a1"/>
    <w:autoRedefine w:val="1"/>
    <w:pPr>
      <w:spacing w:after="0"/>
    </w:pPr>
    <w:rPr>
      <w:i w:val="1"/>
      <w:color w:val="333333"/>
      <w:sz w:val="16"/>
    </w:rPr>
  </w:style>
  <w:style w:type="paragraph" w:styleId="a7">
    <w:name w:val="header"/>
    <w:basedOn w:val="a1"/>
    <w:autoRedefine w:val="1"/>
    <w:rPr>
      <w:i w:val="1"/>
      <w:color w:val="333333"/>
      <w:sz w:val="16"/>
    </w:rPr>
  </w:style>
  <w:style w:type="character" w:styleId="a8">
    <w:name w:val="FollowedHyperlink"/>
    <w:basedOn w:val="a2"/>
    <w:rPr>
      <w:color w:val="800080" w:themeColor="followedHyperlink"/>
      <w:u w:val="single"/>
    </w:rPr>
  </w:style>
  <w:style w:type="character" w:styleId="a9">
    <w:name w:val="Hyperlink"/>
    <w:basedOn w:val="a2"/>
    <w:rPr>
      <w:color w:val="0000ff"/>
      <w:u w:val="single"/>
    </w:rPr>
  </w:style>
  <w:style w:type="paragraph" w:styleId="Numbered" w:customStyle="1">
    <w:name w:val="Numbered"/>
    <w:basedOn w:val="a"/>
    <w:autoRedefine w:val="1"/>
    <w:qFormat w:val="1"/>
  </w:style>
  <w:style w:type="character" w:styleId="40" w:customStyle="1">
    <w:name w:val="标题 4 字符"/>
    <w:basedOn w:val="a2"/>
    <w:link w:val="4"/>
    <w:rPr>
      <w:rFonts w:ascii="Arial" w:hAnsi="Arial" w:cstheme="majorBidi" w:eastAsiaTheme="majorEastAsia"/>
      <w:b w:val="1"/>
      <w:bCs w:val="1"/>
      <w:i w:val="1"/>
      <w:iCs w:val="1"/>
      <w:szCs w:val="16"/>
      <w:lang w:eastAsia="ja-JP"/>
    </w:rPr>
  </w:style>
  <w:style w:type="character" w:styleId="50" w:customStyle="1">
    <w:name w:val="标题 5 字符"/>
    <w:basedOn w:val="a2"/>
    <w:link w:val="5"/>
    <w:rPr>
      <w:rFonts w:ascii="Arial" w:hAnsi="Arial" w:cstheme="majorBidi" w:eastAsiaTheme="majorEastAsia"/>
      <w:szCs w:val="16"/>
      <w:u w:val="single"/>
      <w:lang w:eastAsia="ja-JP"/>
    </w:rPr>
  </w:style>
  <w:style w:type="paragraph" w:styleId="EndNoteBibliographyTitle" w:customStyle="1">
    <w:name w:val="EndNote Bibliography Title"/>
    <w:basedOn w:val="a1"/>
    <w:link w:val="EndNoteBibliographyTitle0"/>
    <w:autoRedefine w:val="1"/>
    <w:pPr>
      <w:spacing w:after="0"/>
      <w:jc w:val="center"/>
    </w:pPr>
  </w:style>
  <w:style w:type="character" w:styleId="EndNoteBibliographyTitle0" w:customStyle="1">
    <w:name w:val="EndNote Bibliography Title 字符"/>
    <w:basedOn w:val="a2"/>
    <w:link w:val="EndNoteBibliographyTitle"/>
    <w:rPr>
      <w:rFonts w:ascii="Arial" w:cs="Arial" w:eastAsia="MS Mincho" w:hAnsi="Arial"/>
      <w:szCs w:val="16"/>
      <w:lang w:eastAsia="ja-JP" w:val="en-GB"/>
    </w:rPr>
  </w:style>
  <w:style w:type="paragraph" w:styleId="EndNoteBibliography" w:customStyle="1">
    <w:name w:val="EndNote Bibliography"/>
    <w:basedOn w:val="a1"/>
    <w:link w:val="EndNoteBibliography0"/>
    <w:autoRedefine w:val="1"/>
    <w:rsid w:val="00402B95"/>
  </w:style>
  <w:style w:type="character" w:styleId="EndNoteBibliography0" w:customStyle="1">
    <w:name w:val="EndNote Bibliography 字符"/>
    <w:basedOn w:val="a2"/>
    <w:link w:val="EndNoteBibliography"/>
    <w:rsid w:val="00402B95"/>
    <w:rPr>
      <w:rFonts w:ascii="Arial" w:cs="Arial" w:eastAsia="宋体" w:hAnsi="Arial"/>
      <w:sz w:val="22"/>
      <w:szCs w:val="22"/>
    </w:rPr>
  </w:style>
  <w:style w:type="paragraph" w:styleId="aa">
    <w:name w:val="Normal (Web)"/>
    <w:basedOn w:val="a1"/>
    <w:uiPriority w:val="99"/>
    <w:unhideWhenUsed w:val="1"/>
    <w:rsid w:val="00714D44"/>
    <w:pPr>
      <w:tabs>
        <w:tab w:val="clear" w:pos="2394"/>
        <w:tab w:val="clear" w:pos="4320"/>
        <w:tab w:val="clear" w:pos="8640"/>
      </w:tabs>
    </w:pPr>
    <w:rPr>
      <w:rFonts w:ascii="宋体" w:cs="宋体" w:hAnsi="宋体"/>
      <w:sz w:val="24"/>
      <w:szCs w:val="24"/>
    </w:rPr>
  </w:style>
  <w:style w:type="character" w:styleId="15" w:customStyle="1">
    <w:name w:val="15"/>
    <w:basedOn w:val="a2"/>
    <w:rsid w:val="00714D44"/>
    <w:rPr>
      <w:rFonts w:ascii="DengXian" w:eastAsia="DengXian" w:hAnsi="DengXian" w:hint="eastAsia"/>
      <w:b w:val="1"/>
      <w:bCs w:val="1"/>
    </w:rPr>
  </w:style>
  <w:style w:type="character" w:styleId="ab">
    <w:name w:val="Strong"/>
    <w:basedOn w:val="a2"/>
    <w:uiPriority w:val="22"/>
    <w:qFormat w:val="1"/>
    <w:rsid w:val="00B101F7"/>
    <w:rPr>
      <w:b w:val="1"/>
      <w:bCs w:val="1"/>
    </w:rPr>
  </w:style>
  <w:style w:type="character" w:styleId="ac">
    <w:name w:val="Emphasis"/>
    <w:basedOn w:val="a2"/>
    <w:uiPriority w:val="20"/>
    <w:qFormat w:val="1"/>
    <w:rsid w:val="00B101F7"/>
    <w:rPr>
      <w:i w:val="1"/>
      <w:iCs w:val="1"/>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iPTi5TTw57aeTDwKUw/rhE5TXg==">CgMxLjAaHQoBMBIYChYIB0ISEhBBcmlhbCBVbmljb2RlIE1TGh0KATESGAoWCAdCEhIQQXJpYWwgVW5pY29kZSBNUzIOaC5pM2ZyZDI5dndxd244AHIhMWcwVXdFblVDb3FiSjJaUURjSnAyTlAzZEdxQUIySmRI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2026-04-04T19:13:00Z</dcterms:created>
  <dc:creator>Mahdad Noursadeghi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2052-6.7.1.8828</vt:lpwstr>
  </property>
  <property fmtid="{D5CDD505-2E9C-101B-9397-08002B2CF9AE}" pid="3" name="ICV">
    <vt:lpwstr>8782E089D0D8F74411D036698B8AF774_43</vt:lpwstr>
  </property>
</Properties>
</file>