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5FC33">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FFE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044820BE">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415CF304">
            <w:pPr>
              <w:rPr>
                <w:rFonts w:hint="default" w:eastAsiaTheme="minorEastAsia"/>
                <w:vertAlign w:val="baseline"/>
                <w:lang w:val="en-US" w:eastAsia="zh-CN"/>
              </w:rPr>
            </w:pPr>
            <w:r>
              <w:rPr>
                <w:rFonts w:hint="eastAsia"/>
                <w:vertAlign w:val="baseline"/>
                <w:lang w:val="en-US" w:eastAsia="zh-CN"/>
              </w:rPr>
              <w:t>126REC003</w:t>
            </w:r>
          </w:p>
        </w:tc>
        <w:tc>
          <w:tcPr>
            <w:tcW w:w="1164" w:type="dxa"/>
          </w:tcPr>
          <w:p w14:paraId="63D26B3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312844AB">
            <w:pPr>
              <w:rPr>
                <w:vertAlign w:val="baseline"/>
              </w:rPr>
            </w:pPr>
            <w:r>
              <w:rPr>
                <w:rFonts w:hint="eastAsia"/>
                <w:vertAlign w:val="baseline"/>
              </w:rPr>
              <w:t>YC.CHANGPINGT3.Q</w:t>
            </w:r>
          </w:p>
        </w:tc>
      </w:tr>
      <w:tr w14:paraId="64A9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6F632C58">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4BB3D9D4">
            <w:pPr>
              <w:rPr>
                <w:vertAlign w:val="baseline"/>
              </w:rPr>
            </w:pPr>
            <w:r>
              <w:rPr>
                <w:rFonts w:hint="eastAsia"/>
                <w:vertAlign w:val="baseline"/>
              </w:rPr>
              <w:t>2023-11-0</w:t>
            </w:r>
            <w:r>
              <w:rPr>
                <w:rFonts w:hint="eastAsia"/>
                <w:vertAlign w:val="baseline"/>
                <w:lang w:val="en-US" w:eastAsia="zh-CN"/>
              </w:rPr>
              <w:t>3</w:t>
            </w:r>
            <w:r>
              <w:rPr>
                <w:rFonts w:hint="eastAsia"/>
                <w:vertAlign w:val="baseline"/>
              </w:rPr>
              <w:t xml:space="preserve"> 10:15:00</w:t>
            </w:r>
          </w:p>
        </w:tc>
        <w:tc>
          <w:tcPr>
            <w:tcW w:w="1164" w:type="dxa"/>
          </w:tcPr>
          <w:p w14:paraId="54100433">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757D5F8D">
            <w:pPr>
              <w:rPr>
                <w:rFonts w:hint="default" w:eastAsiaTheme="minorEastAsia"/>
                <w:vertAlign w:val="baseline"/>
                <w:lang w:val="en-US" w:eastAsia="zh-CN"/>
              </w:rPr>
            </w:pPr>
            <w:r>
              <w:rPr>
                <w:rFonts w:hint="eastAsia"/>
                <w:vertAlign w:val="baseline"/>
                <w:lang w:val="en-US" w:eastAsia="zh-CN"/>
              </w:rPr>
              <w:t>SCADA</w:t>
            </w:r>
          </w:p>
        </w:tc>
      </w:tr>
      <w:tr w14:paraId="333F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52F538D1">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BE6D753">
            <w:pPr>
              <w:rPr>
                <w:vertAlign w:val="baseline"/>
              </w:rPr>
            </w:pPr>
            <w:r>
              <w:rPr>
                <w:rFonts w:hint="eastAsia"/>
                <w:vertAlign w:val="baseline"/>
              </w:rPr>
              <w:t>昌平站主变</w:t>
            </w:r>
          </w:p>
        </w:tc>
      </w:tr>
      <w:tr w14:paraId="1FF4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B46433C">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46488C01">
            <w:pPr>
              <w:rPr>
                <w:vertAlign w:val="baseline"/>
              </w:rPr>
            </w:pPr>
            <w:r>
              <w:rPr>
                <w:rFonts w:hint="eastAsia"/>
                <w:vertAlign w:val="baseline"/>
                <w:lang w:val="en-US" w:eastAsia="zh-CN"/>
              </w:rPr>
              <w:t>昌平500kV变电站</w:t>
            </w:r>
          </w:p>
        </w:tc>
      </w:tr>
      <w:tr w14:paraId="2A6C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03F79677">
            <w:pPr>
              <w:jc w:val="center"/>
              <w:rPr>
                <w:vertAlign w:val="baseline"/>
              </w:rPr>
            </w:pPr>
            <w:r>
              <w:rPr>
                <w:rFonts w:hint="eastAsia"/>
                <w:vertAlign w:val="baseline"/>
                <w:lang w:val="en-US" w:eastAsia="zh-CN"/>
              </w:rPr>
              <w:t>使用情况</w:t>
            </w:r>
          </w:p>
        </w:tc>
      </w:tr>
      <w:tr w14:paraId="3533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2FFDB44F">
            <w:pPr>
              <w:rPr>
                <w:vertAlign w:val="baseline"/>
              </w:rPr>
            </w:pPr>
            <w:r>
              <w:rPr>
                <w:rFonts w:hint="eastAsia"/>
                <w:vertAlign w:val="baseline"/>
              </w:rPr>
              <w:t>2023年11月1日10时15分00秒，顺义220kV变电站SCADA系统记录到顺义站110kV母线电压数据。当时，一条重要的上级联络线发生瞬时性故障，导致母线电压出现短暂跌落。但由于该联络线具备充足的支撑能力，电压跌落幅度控制在允许范围内（最低降至0.92pu），低频减载装置虽启动但未实际切除负荷（频率最低49.6Hz，未达到动作定值）。各自系统（顺义分区及其相邻分区）均保持稳定运行，所有用户供电正常。事后分析表明，联络线设计满足N-1准则，其输送容量和无功支撑能力足以在故障时维持分区内电压和频率稳定。</w:t>
            </w:r>
            <w:bookmarkStart w:id="0" w:name="_GoBack"/>
            <w:bookmarkEnd w:id="0"/>
            <w:r>
              <w:rPr>
                <w:rFonts w:hint="eastAsia"/>
                <w:vertAlign w:val="baseline"/>
              </w:rPr>
              <w:t>城市电网各供电分区间联络线具备足够的支撑能力，联络线故障时各自系统能保持稳定</w:t>
            </w:r>
          </w:p>
        </w:tc>
      </w:tr>
    </w:tbl>
    <w:p w14:paraId="1CD1960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E04E42"/>
    <w:rsid w:val="349C0903"/>
    <w:rsid w:val="4694381C"/>
    <w:rsid w:val="76307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107</Words>
  <Characters>154</Characters>
  <Lines>0</Lines>
  <Paragraphs>0</Paragraphs>
  <TotalTime>0</TotalTime>
  <ScaleCrop>false</ScaleCrop>
  <LinksUpToDate>false</LinksUpToDate>
  <CharactersWithSpaces>155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2025-11-05T11:42:00Z</dcterms:created>
  <dc:creator>HP</dc:creator>
  <cp:lastModifiedBy>刘佳雯</cp:lastModifiedBy>
  <dcterms:modified xsi:type="dcterms:W3CDTF">2026-04-14T07:54:46Z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7FB988D091E0470FBCFC9C23D13D28BE_12</vt:lpwstr>
  </property>
</Properties>
</file>