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YX.SZPC500.BUSPRO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16:45:08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深圳鹏城站 500kV 3/2接线串内母线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鹏城500kV变电站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t>母线故障导致同一串内两条500kV线路被迫停运，区域电网结构保持稳定，未引发功角振荡，系统保持稳定，满足要求。</w:t>
            </w:r>
            <w:bookmarkStart w:id="0" w:name="_GoBack"/>
            <w:bookmarkEnd w:id="0"/>
          </w:p>
        </w:tc>
      </w:tr>
    </w:tbl>
    <w:p w14:paraId="6E5C42A8"/>
    <w:p w14:paraId="7590C76F"/>
    <w:p w14:paraId="3C19DD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A7AAE"/>
    <w:rsid w:val="769F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171</Characters>
  <Lines>0</Lines>
  <Paragraphs>0</Paragraphs>
  <TotalTime>0</TotalTime>
  <ScaleCrop>false</ScaleCrop>
  <LinksUpToDate>false</LinksUpToDate>
  <CharactersWithSpaces>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2025-11-06T13:12:00Z</dcterms:created>
  <dc:creator>HP</dc:creator>
  <cp:lastModifiedBy>刘佳雯</cp:lastModifiedBy>
  <dcterms:modified xsi:type="dcterms:W3CDTF">2026-03-10T03:04:28Z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DF0C8A76B749483BAACFD81AB9E0FFED_12</vt:lpwstr>
  </property>
</Properties>
</file>