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010679">
      <w:pPr>
        <w:jc w:val="center"/>
        <w:rPr>
          <w:rFonts w:hint="eastAsia"/>
          <w:vertAlign w:val="baseline"/>
          <w:lang w:val="en-US" w:eastAsia="zh-CN"/>
        </w:rPr>
      </w:pPr>
      <w:r>
        <w:rPr>
          <w:rFonts w:hint="eastAsia"/>
          <w:b/>
          <w:bCs/>
          <w:sz w:val="28"/>
          <w:szCs w:val="36"/>
          <w:vertAlign w:val="baseline"/>
          <w:lang w:val="en-US" w:eastAsia="zh-CN"/>
        </w:rPr>
        <w:t>有限公司设备运行记录</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2080"/>
        <w:gridCol w:w="1164"/>
        <w:gridCol w:w="2843"/>
      </w:tblGrid>
      <w:tr w14:paraId="25440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17" w:type="dxa"/>
          </w:tcPr>
          <w:p w14:paraId="7BDFDBD0">
            <w:pPr>
              <w:rPr>
                <w:rFonts w:hint="default" w:eastAsiaTheme="minorEastAsia"/>
                <w:vertAlign w:val="baseline"/>
                <w:lang w:val="en-US" w:eastAsia="zh-CN"/>
              </w:rPr>
            </w:pPr>
            <w:r>
              <w:rPr>
                <w:rFonts w:hint="eastAsia"/>
                <w:vertAlign w:val="baseline"/>
                <w:lang w:val="en-US" w:eastAsia="zh-CN"/>
              </w:rPr>
              <w:t>记录编号</w:t>
            </w:r>
          </w:p>
        </w:tc>
        <w:tc>
          <w:tcPr>
            <w:tcW w:w="2080" w:type="dxa"/>
          </w:tcPr>
          <w:p w14:paraId="6D86A05A">
            <w:pPr>
              <w:rPr>
                <w:rFonts w:hint="default" w:eastAsiaTheme="minorEastAsia"/>
                <w:vertAlign w:val="baseline"/>
                <w:lang w:val="en-US" w:eastAsia="zh-CN"/>
              </w:rPr>
            </w:pPr>
            <w:r>
              <w:rPr>
                <w:rFonts w:hint="eastAsia"/>
                <w:vertAlign w:val="baseline"/>
                <w:lang w:val="en-US" w:eastAsia="zh-CN"/>
              </w:rPr>
              <w:t>144REC015</w:t>
            </w:r>
          </w:p>
        </w:tc>
        <w:tc>
          <w:tcPr>
            <w:tcW w:w="1164" w:type="dxa"/>
          </w:tcPr>
          <w:p w14:paraId="519CC89B">
            <w:pPr>
              <w:rPr>
                <w:rFonts w:hint="default" w:eastAsiaTheme="minorEastAsia"/>
                <w:vertAlign w:val="baseline"/>
                <w:lang w:val="en-US" w:eastAsia="zh-CN"/>
              </w:rPr>
            </w:pPr>
            <w:r>
              <w:rPr>
                <w:rFonts w:hint="eastAsia"/>
                <w:vertAlign w:val="baseline"/>
                <w:lang w:val="en-US" w:eastAsia="zh-CN"/>
              </w:rPr>
              <w:t>测点标识</w:t>
            </w:r>
          </w:p>
        </w:tc>
        <w:tc>
          <w:tcPr>
            <w:tcW w:w="2843" w:type="dxa"/>
          </w:tcPr>
          <w:p w14:paraId="4CCD9E9B">
            <w:pPr>
              <w:rPr>
                <w:vertAlign w:val="baseline"/>
              </w:rPr>
            </w:pPr>
            <w:r>
              <w:rPr>
                <w:rFonts w:hint="eastAsia"/>
                <w:vertAlign w:val="baseline"/>
              </w:rPr>
              <w:t>YX.FJ_COAST1.PRO</w:t>
            </w:r>
          </w:p>
        </w:tc>
      </w:tr>
      <w:tr w14:paraId="49917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37C093FB">
            <w:pPr>
              <w:rPr>
                <w:rFonts w:hint="default" w:eastAsiaTheme="minorEastAsia"/>
                <w:vertAlign w:val="baseline"/>
                <w:lang w:val="en-US" w:eastAsia="zh-CN"/>
              </w:rPr>
            </w:pPr>
            <w:r>
              <w:rPr>
                <w:rFonts w:hint="eastAsia"/>
                <w:vertAlign w:val="baseline"/>
                <w:lang w:val="en-US" w:eastAsia="zh-CN"/>
              </w:rPr>
              <w:t>记录时间</w:t>
            </w:r>
          </w:p>
        </w:tc>
        <w:tc>
          <w:tcPr>
            <w:tcW w:w="2080" w:type="dxa"/>
          </w:tcPr>
          <w:p w14:paraId="7E3EB784">
            <w:pPr>
              <w:rPr>
                <w:vertAlign w:val="baseline"/>
              </w:rPr>
            </w:pPr>
            <w:r>
              <w:rPr>
                <w:rFonts w:hint="eastAsia"/>
                <w:vertAlign w:val="baseline"/>
              </w:rPr>
              <w:t>2024-12-05 13:10:05</w:t>
            </w:r>
          </w:p>
        </w:tc>
        <w:tc>
          <w:tcPr>
            <w:tcW w:w="1164" w:type="dxa"/>
          </w:tcPr>
          <w:p w14:paraId="44108107">
            <w:pPr>
              <w:rPr>
                <w:rFonts w:hint="eastAsia" w:eastAsiaTheme="minorEastAsia"/>
                <w:vertAlign w:val="baseline"/>
                <w:lang w:val="en-US" w:eastAsia="zh-CN"/>
              </w:rPr>
            </w:pPr>
            <w:r>
              <w:rPr>
                <w:rFonts w:hint="eastAsia"/>
                <w:vertAlign w:val="baseline"/>
                <w:lang w:val="en-US" w:eastAsia="zh-CN"/>
              </w:rPr>
              <w:t>来源系统</w:t>
            </w:r>
          </w:p>
        </w:tc>
        <w:tc>
          <w:tcPr>
            <w:tcW w:w="2843" w:type="dxa"/>
          </w:tcPr>
          <w:p w14:paraId="39E88C8B">
            <w:pPr>
              <w:rPr>
                <w:rFonts w:hint="default" w:eastAsiaTheme="minorEastAsia"/>
                <w:vertAlign w:val="baseline"/>
                <w:lang w:val="en-US" w:eastAsia="zh-CN"/>
              </w:rPr>
            </w:pPr>
            <w:r>
              <w:rPr>
                <w:rFonts w:hint="eastAsia"/>
                <w:vertAlign w:val="baseline"/>
              </w:rPr>
              <w:t>DMS</w:t>
            </w:r>
          </w:p>
        </w:tc>
      </w:tr>
      <w:tr w14:paraId="66D09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jc w:val="center"/>
        </w:trPr>
        <w:tc>
          <w:tcPr>
            <w:tcW w:w="1217" w:type="dxa"/>
          </w:tcPr>
          <w:p w14:paraId="0EC684FD">
            <w:pPr>
              <w:rPr>
                <w:rFonts w:hint="eastAsia" w:eastAsiaTheme="minorEastAsia"/>
                <w:vertAlign w:val="baseline"/>
                <w:lang w:val="en-US" w:eastAsia="zh-CN"/>
              </w:rPr>
            </w:pPr>
            <w:r>
              <w:rPr>
                <w:rFonts w:hint="eastAsia"/>
                <w:vertAlign w:val="baseline"/>
                <w:lang w:val="en-US" w:eastAsia="zh-CN"/>
              </w:rPr>
              <w:t>关联设备</w:t>
            </w:r>
          </w:p>
        </w:tc>
        <w:tc>
          <w:tcPr>
            <w:tcW w:w="6087" w:type="dxa"/>
            <w:gridSpan w:val="3"/>
          </w:tcPr>
          <w:p w14:paraId="46AD0753">
            <w:pPr>
              <w:rPr>
                <w:vertAlign w:val="baseline"/>
              </w:rPr>
            </w:pPr>
            <w:r>
              <w:rPr>
                <w:rFonts w:hint="eastAsia"/>
                <w:vertAlign w:val="baseline"/>
              </w:rPr>
              <w:t>福建沿海 多回220kV线路</w:t>
            </w:r>
          </w:p>
        </w:tc>
      </w:tr>
      <w:tr w14:paraId="546BB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71B21B8D">
            <w:pPr>
              <w:rPr>
                <w:rFonts w:hint="default" w:eastAsiaTheme="minorEastAsia"/>
                <w:vertAlign w:val="baseline"/>
                <w:lang w:val="en-US" w:eastAsia="zh-CN"/>
              </w:rPr>
            </w:pPr>
            <w:r>
              <w:rPr>
                <w:rFonts w:hint="eastAsia"/>
                <w:vertAlign w:val="baseline"/>
                <w:lang w:val="en-US" w:eastAsia="zh-CN"/>
              </w:rPr>
              <w:t>所属厂站</w:t>
            </w:r>
          </w:p>
        </w:tc>
        <w:tc>
          <w:tcPr>
            <w:tcW w:w="6087" w:type="dxa"/>
            <w:gridSpan w:val="3"/>
          </w:tcPr>
          <w:p w14:paraId="36D8BD8B">
            <w:pPr>
              <w:rPr>
                <w:vertAlign w:val="baseline"/>
              </w:rPr>
            </w:pPr>
            <w:r>
              <w:rPr>
                <w:rFonts w:hint="eastAsia"/>
                <w:vertAlign w:val="baseline"/>
              </w:rPr>
              <w:t>福州500kV变电站</w:t>
            </w:r>
          </w:p>
        </w:tc>
      </w:tr>
      <w:tr w14:paraId="1A7CF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463D0B76">
            <w:pPr>
              <w:jc w:val="center"/>
              <w:rPr>
                <w:vertAlign w:val="baseline"/>
              </w:rPr>
            </w:pPr>
            <w:r>
              <w:rPr>
                <w:rFonts w:hint="eastAsia"/>
                <w:vertAlign w:val="baseline"/>
                <w:lang w:val="en-US" w:eastAsia="zh-CN"/>
              </w:rPr>
              <w:t>使用情况</w:t>
            </w:r>
          </w:p>
        </w:tc>
      </w:tr>
      <w:tr w14:paraId="2502F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7E1D22DB">
            <w:pPr>
              <w:rPr>
                <w:vertAlign w:val="baseline"/>
              </w:rPr>
            </w:pPr>
            <w:r>
              <w:rPr>
                <w:rFonts w:hint="eastAsia"/>
                <w:vertAlign w:val="baseline"/>
              </w:rPr>
              <w:t>2024年12月5日13时10分05秒，福州500kV变电站DMS系统记录到多重故障：台风“海燕”导致福建沿海3回220kV线路同时跳闸，造成福州、宁德地区功率缺额约800MW。针对此类多重故障，福建电网配置了电网解列运行和保重要负荷作为对应的防止或控制措施。稳控系统检测到多回线跳闸后，在预定断面将福建电网解列为闽北、闽南两个独立子网，每个子网内通过切机、切负荷实现功率平衡；同时，对最重要用户（如核电基地、高铁牵引站）启动保供电预案，由备用电源（柴油发电机、UPS）保障供电。DMS记录显示，解列后两个子网频率均稳定在49.7～50.2Hz之间，未发生系统崩溃；最重要用户供电未中断。该措施有效防止了灾害性停电</w:t>
            </w:r>
            <w:bookmarkStart w:id="0" w:name="_GoBack"/>
            <w:bookmarkEnd w:id="0"/>
          </w:p>
        </w:tc>
      </w:tr>
    </w:tbl>
    <w:p w14:paraId="30CF5FBA"/>
    <w:p w14:paraId="74CC2A83"/>
    <w:p w14:paraId="6029843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E542401"/>
    <w:rsid w:val="6FA970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102</Words>
  <Characters>151</Characters>
  <Lines>0</Lines>
  <Paragraphs>0</Paragraphs>
  <TotalTime>0</TotalTime>
  <ScaleCrop>false</ScaleCrop>
  <LinksUpToDate>false</LinksUpToDate>
  <CharactersWithSpaces>153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2025-11-07T13:42:00Z</dcterms:created>
  <dc:creator>HP</dc:creator>
  <cp:lastModifiedBy>刘佳雯</cp:lastModifiedBy>
  <dcterms:modified xsi:type="dcterms:W3CDTF">2026-04-14T07:03:19Z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eyJoZGlkIjoiN2ZiMWU4NjE2ZThjZWFmNTIyNjY1N2Y2MGM4NGU0YzgiLCJ1c2VySWQiOiI0NzEwNjU4NjgifQ==</vt:lpwstr>
  </property>
  <property fmtid="{D5CDD505-2E9C-101B-9397-08002B2CF9AE}" pid="4" name="ICV">
    <vt:lpwstr>03297471513C4DF797C92B0EDA61E683_12</vt:lpwstr>
  </property>
</Properties>
</file>