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B5A6C0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FFE28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044820B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415CF30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128REC016</w:t>
            </w:r>
          </w:p>
        </w:tc>
        <w:tc>
          <w:tcPr>
            <w:tcW w:w="1164" w:type="dxa"/>
          </w:tcPr>
          <w:p w14:paraId="63D26B3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312844AB">
            <w:pPr>
              <w:rPr>
                <w:vertAlign w:val="baseline"/>
              </w:rPr>
            </w:pPr>
            <w:r>
              <w:rPr>
                <w:rFonts w:hint="eastAsia"/>
              </w:rPr>
              <w:t>YC.SZ_T1.P</w:t>
            </w:r>
          </w:p>
        </w:tc>
      </w:tr>
      <w:tr w14:paraId="64A9AF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6F632C5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4BB3D9D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2024-05-2</w:t>
            </w:r>
            <w:r>
              <w:rPr>
                <w:rFonts w:hint="eastAsia"/>
                <w:vertAlign w:val="baseline"/>
                <w:lang w:val="en-US" w:eastAsia="zh-CN"/>
              </w:rPr>
              <w:t>2</w:t>
            </w:r>
            <w:r>
              <w:rPr>
                <w:rFonts w:hint="eastAsia"/>
                <w:vertAlign w:val="baseline"/>
              </w:rPr>
              <w:t xml:space="preserve"> 19:20:14</w:t>
            </w:r>
          </w:p>
        </w:tc>
        <w:tc>
          <w:tcPr>
            <w:tcW w:w="1164" w:type="dxa"/>
          </w:tcPr>
          <w:p w14:paraId="54100433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757D5F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SCADA</w:t>
            </w:r>
          </w:p>
        </w:tc>
      </w:tr>
      <w:tr w14:paraId="333F3F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52F538D1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BE6D753">
            <w:pPr>
              <w:rPr>
                <w:vertAlign w:val="baseline"/>
              </w:rPr>
            </w:pPr>
            <w:r>
              <w:rPr>
                <w:rFonts w:hint="eastAsia"/>
              </w:rPr>
              <w:t>苏州站 主变</w:t>
            </w:r>
          </w:p>
        </w:tc>
      </w:tr>
      <w:tr w14:paraId="1FF455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B46433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46488C01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苏州500kV变电站</w:t>
            </w:r>
          </w:p>
        </w:tc>
      </w:tr>
      <w:tr w14:paraId="2A6C8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03F79677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35338F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2FFDB44F">
            <w:pPr>
              <w:rPr>
                <w:rFonts w:hint="eastAsia" w:eastAsiaTheme="minorEastAsia"/>
                <w:vertAlign w:val="baseline"/>
                <w:lang w:eastAsia="zh-CN"/>
              </w:rPr>
            </w:pPr>
            <w:r>
              <w:rPr>
                <w:rFonts w:hint="eastAsia"/>
                <w:vertAlign w:val="baseline"/>
              </w:rPr>
              <w:t>2024年5月22日19时20分14秒，苏州500kV变电站SCADA系统记录了主变运行数据。当前有功功率为980MW，其稳定限额（热稳定计算值）为1000MW，运行值低于限额20MW，裕度2%。主变运行工况良好，油温、绕组温度均正常。苏州电网供电可靠。最大受电电力在稳定限额计算值范围内</w:t>
            </w:r>
            <w:r>
              <w:rPr>
                <w:rFonts w:hint="eastAsia"/>
                <w:vertAlign w:val="baseline"/>
                <w:lang w:eastAsia="zh-CN"/>
              </w:rPr>
              <w:t>。</w:t>
            </w:r>
            <w:bookmarkStart w:id="0" w:name="_GoBack"/>
            <w:bookmarkEnd w:id="0"/>
          </w:p>
        </w:tc>
      </w:tr>
    </w:tbl>
    <w:p w14:paraId="786412A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F77C55"/>
    <w:rsid w:val="07D25FD1"/>
    <w:rsid w:val="1A2F4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100</Words>
  <Characters>150</Characters>
  <Lines>0</Lines>
  <Paragraphs>0</Paragraphs>
  <TotalTime>1</TotalTime>
  <ScaleCrop>false</ScaleCrop>
  <LinksUpToDate>false</LinksUpToDate>
  <CharactersWithSpaces>152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2025-11-06T03:15:00Z</dcterms:created>
  <dc:creator>HP</dc:creator>
  <cp:lastModifiedBy>刘佳雯</cp:lastModifiedBy>
  <dcterms:modified xsi:type="dcterms:W3CDTF">2026-04-14T08:50:59Z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9D7550E8105847848F33457606E98595_12</vt:lpwstr>
  </property>
</Properties>
</file>