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71218REC016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通信蓄电池组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  <w:bookmarkStart w:id="0" w:name="_GoBack"/>
            <w:bookmarkEnd w:id="0"/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江城换流站通信蓄电池组为通信电源后备保障。缺陷管理制度规定：蓄电池组单体电压异常为一般缺陷，整组容量不达标为严重缺陷，输出中断为紧急缺陷。2025年3月10日，巡检发现一节蓄电池电压低于1.8V，登记为一般缺陷，计划7日内更换。实际于3月14日更换该电池并做均衡充电，消缺用时4天。2025年全年无严重和紧急缺陷。该站每月统计消缺完成率，2025年1-12月均为100%。制度中明确紧急缺陷24h消缺要求，并配备了应急通信电源车作为后备。所有缺陷处理记录均上传TMS系统，可追溯。关键信息：管理制度健全，覆盖蓄电池等辅助设备；消缺及时有效，消缺计划完成率100%；紧急缺陷24h消缺率制度健全且无负面记录</w:t>
            </w:r>
          </w:p>
        </w:tc>
      </w:tr>
    </w:tbl>
    <w:p w14:paraId="1EA085A9"/>
    <w:p w14:paraId="76EDED5D"/>
    <w:p w14:paraId="24DA0582"/>
    <w:p w14:paraId="480722AA"/>
    <w:p w14:paraId="43D65B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0D8062F"/>
    <w:rsid w:val="6C5C5FD2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0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