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B5A6C0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FFE2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044820BE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415CF304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128REC017</w:t>
            </w:r>
          </w:p>
        </w:tc>
        <w:tc>
          <w:tcPr>
            <w:tcW w:w="1164" w:type="dxa"/>
          </w:tcPr>
          <w:p w14:paraId="63D26B3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312844AB">
            <w:pPr>
              <w:rPr>
                <w:vertAlign w:val="baseline"/>
              </w:rPr>
            </w:pPr>
            <w:r>
              <w:rPr>
                <w:rFonts w:hint="eastAsia"/>
              </w:rPr>
              <w:t>YC.SXJS.P</w:t>
            </w:r>
          </w:p>
        </w:tc>
      </w:tr>
      <w:tr w14:paraId="64A9A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6F632C58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4BB3D9D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2024-05-2</w:t>
            </w:r>
            <w:r>
              <w:rPr>
                <w:rFonts w:hint="eastAsia"/>
                <w:vertAlign w:val="baseline"/>
                <w:lang w:val="en-US" w:eastAsia="zh-CN"/>
              </w:rPr>
              <w:t>2</w:t>
            </w:r>
            <w:r>
              <w:rPr>
                <w:rFonts w:hint="eastAsia"/>
                <w:vertAlign w:val="baseline"/>
              </w:rPr>
              <w:t xml:space="preserve"> 1</w:t>
            </w:r>
            <w:r>
              <w:rPr>
                <w:rFonts w:hint="eastAsia"/>
                <w:vertAlign w:val="baseline"/>
                <w:lang w:val="en-US" w:eastAsia="zh-CN"/>
              </w:rPr>
              <w:t>7</w:t>
            </w:r>
            <w:r>
              <w:rPr>
                <w:rFonts w:hint="eastAsia"/>
                <w:vertAlign w:val="baseline"/>
              </w:rPr>
              <w:t>:20:14</w:t>
            </w:r>
          </w:p>
        </w:tc>
        <w:tc>
          <w:tcPr>
            <w:tcW w:w="1164" w:type="dxa"/>
          </w:tcPr>
          <w:p w14:paraId="54100433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757D5F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EMS</w:t>
            </w:r>
          </w:p>
        </w:tc>
      </w:tr>
      <w:tr w14:paraId="333F3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52F538D1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BE6D753">
            <w:pPr>
              <w:rPr>
                <w:vertAlign w:val="baseline"/>
              </w:rPr>
            </w:pPr>
            <w:r>
              <w:rPr>
                <w:rFonts w:hint="eastAsia"/>
              </w:rPr>
              <w:t>山西-江苏 特高压通道</w:t>
            </w:r>
          </w:p>
        </w:tc>
      </w:tr>
      <w:tr w14:paraId="1FF45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B46433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46488C0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晋北站</w:t>
            </w:r>
          </w:p>
        </w:tc>
      </w:tr>
      <w:tr w14:paraId="2A6C8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03F79677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35338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2FFDB44F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</w:rPr>
              <w:t>2024年5月22日17时20分14秒，晋北站EMS系统记录了山西-江苏特高压通道的运行数据。当前外送功率为6880MW，其暂态稳定限额为7000MW，运行值低于限额120MW，裕度约1.7%。在稳定限额计算值范围内，输送能力得到充分发挥。系统功角稳定，未出现低频振荡。最大送电电力满足要求</w:t>
            </w:r>
            <w:r>
              <w:rPr>
                <w:rFonts w:hint="eastAsia"/>
                <w:vertAlign w:val="baseline"/>
                <w:lang w:eastAsia="zh-CN"/>
              </w:rPr>
              <w:t>。</w:t>
            </w:r>
            <w:bookmarkStart w:id="0" w:name="_GoBack"/>
            <w:bookmarkEnd w:id="0"/>
          </w:p>
        </w:tc>
      </w:tr>
    </w:tbl>
    <w:p w14:paraId="0F939F4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6B00E2"/>
    <w:rsid w:val="1EE876C4"/>
    <w:rsid w:val="52E87329"/>
    <w:rsid w:val="73E27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106</Words>
  <Characters>150</Characters>
  <Lines>0</Lines>
  <Paragraphs>0</Paragraphs>
  <TotalTime>0</TotalTime>
  <ScaleCrop>false</ScaleCrop>
  <LinksUpToDate>false</LinksUpToDate>
  <CharactersWithSpaces>152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2025-11-06T03:17:00Z</dcterms:created>
  <dc:creator>HP</dc:creator>
  <cp:lastModifiedBy>刘佳雯</cp:lastModifiedBy>
  <dcterms:modified xsi:type="dcterms:W3CDTF">2026-04-14T08:51:12Z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1FDCDE3354ED413BAAF3471D54AD1201_12</vt:lpwstr>
  </property>
</Properties>
</file>