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10679">
      <w:pPr>
        <w:jc w:val="center"/>
        <w:rPr>
          <w:rFonts w:hint="eastAsia"/>
          <w:vertAlign w:val="baseline"/>
          <w:lang w:val="en-US" w:eastAsia="zh-CN"/>
        </w:rPr>
      </w:pPr>
      <w:r>
        <w:rPr>
          <w:rFonts w:hint="eastAsia"/>
          <w:b/>
          <w:bCs/>
          <w:sz w:val="28"/>
          <w:szCs w:val="36"/>
          <w:vertAlign w:val="baseline"/>
          <w:lang w:val="en-US" w:eastAsia="zh-CN"/>
        </w:rPr>
        <w:t>有限公司设备运行记录</w:t>
      </w:r>
    </w:p>
    <w:tbl>
      <w:tblPr>
        <w:tblStyle w:val="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17"/>
        <w:gridCol w:w="2080"/>
        <w:gridCol w:w="1164"/>
        <w:gridCol w:w="2843"/>
      </w:tblGrid>
      <w:tr w14:paraId="25440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1217" w:type="dxa"/>
          </w:tcPr>
          <w:p w14:paraId="7BDFDBD0">
            <w:pPr>
              <w:rPr>
                <w:rFonts w:hint="default" w:eastAsiaTheme="minorEastAsia"/>
                <w:vertAlign w:val="baseline"/>
                <w:lang w:val="en-US" w:eastAsia="zh-CN"/>
              </w:rPr>
            </w:pPr>
            <w:r>
              <w:rPr>
                <w:rFonts w:hint="eastAsia"/>
                <w:vertAlign w:val="baseline"/>
                <w:lang w:val="en-US" w:eastAsia="zh-CN"/>
              </w:rPr>
              <w:t>记录编号</w:t>
            </w:r>
          </w:p>
        </w:tc>
        <w:tc>
          <w:tcPr>
            <w:tcW w:w="2080" w:type="dxa"/>
          </w:tcPr>
          <w:p w14:paraId="6D86A05A">
            <w:pPr>
              <w:rPr>
                <w:rFonts w:hint="default" w:eastAsiaTheme="minorEastAsia"/>
                <w:vertAlign w:val="baseline"/>
                <w:lang w:val="en-US" w:eastAsia="zh-CN"/>
              </w:rPr>
            </w:pPr>
            <w:r>
              <w:rPr>
                <w:rFonts w:hint="eastAsia"/>
                <w:vertAlign w:val="baseline"/>
                <w:lang w:val="en-US" w:eastAsia="zh-CN"/>
              </w:rPr>
              <w:t>144REC018</w:t>
            </w:r>
          </w:p>
        </w:tc>
        <w:tc>
          <w:tcPr>
            <w:tcW w:w="1164" w:type="dxa"/>
          </w:tcPr>
          <w:p w14:paraId="519CC89B">
            <w:pPr>
              <w:rPr>
                <w:rFonts w:hint="default" w:eastAsiaTheme="minorEastAsia"/>
                <w:vertAlign w:val="baseline"/>
                <w:lang w:val="en-US" w:eastAsia="zh-CN"/>
              </w:rPr>
            </w:pPr>
            <w:r>
              <w:rPr>
                <w:rFonts w:hint="eastAsia"/>
                <w:vertAlign w:val="baseline"/>
                <w:lang w:val="en-US" w:eastAsia="zh-CN"/>
              </w:rPr>
              <w:t>测点标识</w:t>
            </w:r>
          </w:p>
        </w:tc>
        <w:tc>
          <w:tcPr>
            <w:tcW w:w="2843" w:type="dxa"/>
          </w:tcPr>
          <w:p w14:paraId="4CCD9E9B">
            <w:pPr>
              <w:rPr>
                <w:vertAlign w:val="baseline"/>
              </w:rPr>
            </w:pPr>
            <w:r>
              <w:rPr>
                <w:rFonts w:hint="eastAsia"/>
                <w:vertAlign w:val="baseline"/>
              </w:rPr>
              <w:t>YX.NJ_T2.PRO</w:t>
            </w:r>
          </w:p>
        </w:tc>
      </w:tr>
      <w:tr w14:paraId="49917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37C093FB">
            <w:pPr>
              <w:rPr>
                <w:rFonts w:hint="default" w:eastAsiaTheme="minorEastAsia"/>
                <w:vertAlign w:val="baseline"/>
                <w:lang w:val="en-US" w:eastAsia="zh-CN"/>
              </w:rPr>
            </w:pPr>
            <w:r>
              <w:rPr>
                <w:rFonts w:hint="eastAsia"/>
                <w:vertAlign w:val="baseline"/>
                <w:lang w:val="en-US" w:eastAsia="zh-CN"/>
              </w:rPr>
              <w:t>记录时间</w:t>
            </w:r>
          </w:p>
        </w:tc>
        <w:tc>
          <w:tcPr>
            <w:tcW w:w="2080" w:type="dxa"/>
          </w:tcPr>
          <w:p w14:paraId="7E3EB784">
            <w:pPr>
              <w:rPr>
                <w:vertAlign w:val="baseline"/>
              </w:rPr>
            </w:pPr>
            <w:r>
              <w:rPr>
                <w:rFonts w:hint="eastAsia"/>
                <w:vertAlign w:val="baseline"/>
              </w:rPr>
              <w:t>2024-12-05 12:00:25</w:t>
            </w:r>
          </w:p>
        </w:tc>
        <w:tc>
          <w:tcPr>
            <w:tcW w:w="1164" w:type="dxa"/>
          </w:tcPr>
          <w:p w14:paraId="44108107">
            <w:pPr>
              <w:rPr>
                <w:rFonts w:hint="eastAsia" w:eastAsiaTheme="minorEastAsia"/>
                <w:vertAlign w:val="baseline"/>
                <w:lang w:val="en-US" w:eastAsia="zh-CN"/>
              </w:rPr>
            </w:pPr>
            <w:r>
              <w:rPr>
                <w:rFonts w:hint="eastAsia"/>
                <w:vertAlign w:val="baseline"/>
                <w:lang w:val="en-US" w:eastAsia="zh-CN"/>
              </w:rPr>
              <w:t>来源系统</w:t>
            </w:r>
          </w:p>
        </w:tc>
        <w:tc>
          <w:tcPr>
            <w:tcW w:w="2843" w:type="dxa"/>
          </w:tcPr>
          <w:p w14:paraId="39E88C8B">
            <w:pPr>
              <w:rPr>
                <w:rFonts w:hint="default" w:eastAsiaTheme="minorEastAsia"/>
                <w:vertAlign w:val="baseline"/>
                <w:lang w:val="en-US" w:eastAsia="zh-CN"/>
              </w:rPr>
            </w:pPr>
            <w:r>
              <w:rPr>
                <w:rFonts w:hint="eastAsia"/>
                <w:vertAlign w:val="baseline"/>
              </w:rPr>
              <w:t>SCADA</w:t>
            </w:r>
          </w:p>
        </w:tc>
      </w:tr>
      <w:tr w14:paraId="66D09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 w:hRule="atLeast"/>
          <w:jc w:val="center"/>
        </w:trPr>
        <w:tc>
          <w:tcPr>
            <w:tcW w:w="1217" w:type="dxa"/>
          </w:tcPr>
          <w:p w14:paraId="0EC684FD">
            <w:pPr>
              <w:rPr>
                <w:rFonts w:hint="eastAsia" w:eastAsiaTheme="minorEastAsia"/>
                <w:vertAlign w:val="baseline"/>
                <w:lang w:val="en-US" w:eastAsia="zh-CN"/>
              </w:rPr>
            </w:pPr>
            <w:r>
              <w:rPr>
                <w:rFonts w:hint="eastAsia"/>
                <w:vertAlign w:val="baseline"/>
                <w:lang w:val="en-US" w:eastAsia="zh-CN"/>
              </w:rPr>
              <w:t>关联设备</w:t>
            </w:r>
          </w:p>
        </w:tc>
        <w:tc>
          <w:tcPr>
            <w:tcW w:w="6087" w:type="dxa"/>
            <w:gridSpan w:val="3"/>
          </w:tcPr>
          <w:p w14:paraId="46AD0753">
            <w:pPr>
              <w:rPr>
                <w:vertAlign w:val="baseline"/>
              </w:rPr>
            </w:pPr>
            <w:r>
              <w:rPr>
                <w:rFonts w:hint="eastAsia"/>
                <w:vertAlign w:val="baseline"/>
              </w:rPr>
              <w:t>南京江北 主变与电容器</w:t>
            </w:r>
          </w:p>
        </w:tc>
      </w:tr>
      <w:tr w14:paraId="546BB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17" w:type="dxa"/>
          </w:tcPr>
          <w:p w14:paraId="71B21B8D">
            <w:pPr>
              <w:rPr>
                <w:rFonts w:hint="default" w:eastAsiaTheme="minorEastAsia"/>
                <w:vertAlign w:val="baseline"/>
                <w:lang w:val="en-US" w:eastAsia="zh-CN"/>
              </w:rPr>
            </w:pPr>
            <w:r>
              <w:rPr>
                <w:rFonts w:hint="eastAsia"/>
                <w:vertAlign w:val="baseline"/>
                <w:lang w:val="en-US" w:eastAsia="zh-CN"/>
              </w:rPr>
              <w:t>所属厂站</w:t>
            </w:r>
          </w:p>
        </w:tc>
        <w:tc>
          <w:tcPr>
            <w:tcW w:w="6087" w:type="dxa"/>
            <w:gridSpan w:val="3"/>
          </w:tcPr>
          <w:p w14:paraId="36D8BD8B">
            <w:pPr>
              <w:rPr>
                <w:vertAlign w:val="baseline"/>
              </w:rPr>
            </w:pPr>
            <w:r>
              <w:rPr>
                <w:rFonts w:hint="eastAsia"/>
                <w:vertAlign w:val="baseline"/>
              </w:rPr>
              <w:t>江北220kV变电站</w:t>
            </w:r>
          </w:p>
        </w:tc>
      </w:tr>
      <w:tr w14:paraId="1A7C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463D0B76">
            <w:pPr>
              <w:jc w:val="center"/>
              <w:rPr>
                <w:vertAlign w:val="baseline"/>
              </w:rPr>
            </w:pPr>
            <w:r>
              <w:rPr>
                <w:rFonts w:hint="eastAsia"/>
                <w:vertAlign w:val="baseline"/>
                <w:lang w:val="en-US" w:eastAsia="zh-CN"/>
              </w:rPr>
              <w:t>使用情况</w:t>
            </w:r>
          </w:p>
        </w:tc>
      </w:tr>
      <w:tr w14:paraId="2502F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304" w:type="dxa"/>
            <w:gridSpan w:val="4"/>
          </w:tcPr>
          <w:p w14:paraId="7E1D22DB">
            <w:pPr>
              <w:rPr>
                <w:vertAlign w:val="baseline"/>
              </w:rPr>
            </w:pPr>
            <w:r>
              <w:rPr>
                <w:rFonts w:hint="eastAsia"/>
                <w:vertAlign w:val="baseline"/>
              </w:rPr>
              <w:t>2024年12月5日12时00分25秒，江北220kV变电站SCADA系统记录到多重故障：#1主变因内部故障跳闸，同时该主变低压侧的电容器组因过电压发生爆炸性故障，导致无功缺额约60Mvar。针对此类多重故障，该站配置了主变后备保护和相邻变电站无功支援作为对应的防止或控制措施。主变跳闸后，备自投装置在0.2秒内投入#2主变，恢复对负荷的供电；电容器爆炸后，AVC系统立即指令相邻的浦口站、高新站增发无功（共增发50Mvar），同时自动投入该站的备用SVG（±20Mvar）。SCADA记录显示，电压最低下降至0.94pu后迅速恢复至0.98pu，未发生电压崩溃。该措施有效防止了事故扩大，未造成长时间大面积停电（故障隔离后负荷由其他主变承载），最重要用户（如江北新区管委会、南医大四附院）供电正常。</w:t>
            </w:r>
            <w:bookmarkStart w:id="0" w:name="_GoBack"/>
            <w:bookmarkEnd w:id="0"/>
          </w:p>
        </w:tc>
      </w:tr>
    </w:tbl>
    <w:p w14:paraId="30CF5FBA"/>
    <w:p w14:paraId="74CC2A83"/>
    <w:p w14:paraId="3D93FE4E"/>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C427F49"/>
    <w:rsid w:val="4F6006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89</Words>
  <Characters>132</Characters>
  <Lines>0</Lines>
  <Paragraphs>0</Paragraphs>
  <TotalTime>0</TotalTime>
  <ScaleCrop>false</ScaleCrop>
  <LinksUpToDate>false</LinksUpToDate>
  <CharactersWithSpaces>134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2025-11-07T13:42:00Z</dcterms:created>
  <dc:creator>HP</dc:creator>
  <cp:lastModifiedBy>刘佳雯</cp:lastModifiedBy>
  <dcterms:modified xsi:type="dcterms:W3CDTF">2026-04-14T07:04:09Z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eyJoZGlkIjoiN2ZiMWU4NjE2ZThjZWFmNTIyNjY1N2Y2MGM4NGU0YzgiLCJ1c2VySWQiOiI0NzEwNjU4NjgifQ==</vt:lpwstr>
  </property>
  <property fmtid="{D5CDD505-2E9C-101B-9397-08002B2CF9AE}" pid="4" name="ICV">
    <vt:lpwstr>84F45C508FF34667B945B917485C11BB_12</vt:lpwstr>
  </property>
</Properties>
</file>