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144REC019</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YX.TJN_T1.PRO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14:15:40</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eastAsia" w:eastAsiaTheme="minorEastAsia"/>
                <w:vertAlign w:val="baseline"/>
                <w:lang w:val="en-US" w:eastAsia="zh-CN"/>
              </w:rPr>
            </w:pPr>
            <w:r>
              <w:rPr>
                <w:rFonts w:hint="eastAsia"/>
                <w:vertAlign w:val="baseline"/>
              </w:rPr>
              <w:t>EM</w:t>
            </w:r>
            <w:r>
              <w:rPr>
                <w:rFonts w:hint="eastAsia"/>
                <w:vertAlign w:val="baseline"/>
                <w:lang w:val="en-US" w:eastAsia="zh-CN"/>
              </w:rPr>
              <w:t>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天津南特高压 主变与线路</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天津南1000kV变电站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bookmarkStart w:id="0" w:name="_GoBack"/>
            <w:bookmarkEnd w:id="0"/>
            <w:r>
              <w:rPr>
                <w:rFonts w:hint="eastAsia"/>
                <w:vertAlign w:val="baseline"/>
              </w:rPr>
              <w:t>2024年12月5日14时15分40秒，天津南1000kV变电站EMS系统记录到多重故障：#1主变瓦斯保护动作跳闸，同时与其相连的1000kV线路因雷击跳闸，导致受端功率缺额约2000MW。针对此类多重故障，该站配置了潮流自动转移和受端电网支援作为对应的防止或控制措施。故障发生后，EMS系统在0.1秒内指令相邻特高压站（北京西、济南）通过其他通道增加送电功率（共约1200MW），同时天津电网启动旋转备用（燃气机组快速增发800MW）。EMS记录显示，系统频率最低下降至49.7Hz后恢复，电压稳定在0.97pu以上；最重要用户（如天津市政府、滨海新区核心区）通过双路供电和UPS保障未受影响。该措施有效防止了系统崩溃，避免了长时间大面积停电</w:t>
            </w:r>
          </w:p>
        </w:tc>
      </w:tr>
    </w:tbl>
    <w:p w14:paraId="30CF5FBA"/>
    <w:p w14:paraId="74CC2A83"/>
    <w:p w14:paraId="1437F6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567898"/>
    <w:rsid w:val="625E0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111</Words>
  <Characters>154</Characters>
  <Lines>0</Lines>
  <Paragraphs>0</Paragraphs>
  <TotalTime>0</TotalTime>
  <ScaleCrop>false</ScaleCrop>
  <LinksUpToDate>false</LinksUpToDate>
  <CharactersWithSpaces>156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2025-11-07T13:43:00Z</dcterms:created>
  <dc:creator>HP</dc:creator>
  <cp:lastModifiedBy>刘佳雯</cp:lastModifiedBy>
  <dcterms:modified xsi:type="dcterms:W3CDTF">2026-04-14T07:04:23Z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DD94090675BC4FA6968BD3D1BA06B34A_12</vt:lpwstr>
  </property>
</Properties>
</file>