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71218REC006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CM-006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TMS</w:t>
            </w:r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通信电源（-48V）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红旗变电站</w:t>
            </w:r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红旗变电站通信电源系统包括高频开关电源和两组蓄电池。缺陷管理制度中明确通信电源缺陷为重要缺陷，紧急缺陷（如输出中断、蓄电池开路）需在24小时内消缺。2025年9月18日，通信电源监控单元告警“整流模块故障”，该模块故障未影响输出，定为一般缺陷。值班员登记后，通信检修班于9月20日更换模块，消缺用</w:t>
            </w:r>
            <w:bookmarkStart w:id="0" w:name="_GoBack"/>
            <w:bookmarkEnd w:id="0"/>
            <w:r>
              <w:rPr>
                <w:rFonts w:hint="eastAsia" w:eastAsiaTheme="minorEastAsia"/>
                <w:vertAlign w:val="baseline"/>
                <w:lang w:eastAsia="zh-CN"/>
              </w:rPr>
              <w:t>时2天。2025年全年该站通信电源无紧急缺陷。同时，该站每月对消缺计划完成率进行统计，2025年1月至12月每月完成率均为100%。制度文件经过三次修订，最近一次于2025年3月更新，增加了对蓄电池内阻异常缺陷的处理流程。关键信息：管理制度健全，覆盖通信电源等关键设备；消缺及时有效，消缺计划完成率100%；紧急缺陷24h消缺率虽无实例但制度保障且历史记录无违反</w:t>
            </w:r>
          </w:p>
        </w:tc>
      </w:tr>
    </w:tbl>
    <w:p w14:paraId="1EA085A9"/>
    <w:p w14:paraId="76EDED5D"/>
    <w:p w14:paraId="24DA05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8D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2026-04-14T02:41:43Z</dcterms:created>
  <dc:creator>HP</dc:creator>
  <cp:lastModifiedBy>刘佳雯</cp:lastModifiedBy>
  <dcterms:modified xsi:type="dcterms:W3CDTF">2026-04-14T02:45:54Z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0022E156F1A642B19627BF389C26BA57_12</vt:lpwstr>
  </property>
</Properties>
</file>