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10679">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544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7BDFDBD0">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6D86A05A">
            <w:pPr>
              <w:rPr>
                <w:rFonts w:hint="default" w:eastAsiaTheme="minorEastAsia"/>
                <w:vertAlign w:val="baseline"/>
                <w:lang w:val="en-US" w:eastAsia="zh-CN"/>
              </w:rPr>
            </w:pPr>
            <w:r>
              <w:rPr>
                <w:rFonts w:hint="eastAsia"/>
                <w:vertAlign w:val="baseline"/>
                <w:lang w:val="en-US" w:eastAsia="zh-CN"/>
              </w:rPr>
              <w:t>144REC008</w:t>
            </w:r>
          </w:p>
        </w:tc>
        <w:tc>
          <w:tcPr>
            <w:tcW w:w="1164" w:type="dxa"/>
          </w:tcPr>
          <w:p w14:paraId="519CC89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4CCD9E9B">
            <w:pPr>
              <w:rPr>
                <w:vertAlign w:val="baseline"/>
              </w:rPr>
            </w:pPr>
            <w:r>
              <w:rPr>
                <w:rFonts w:hint="eastAsia"/>
                <w:vertAlign w:val="baseline"/>
              </w:rPr>
              <w:t>YX.CQ_DOUBLE.PRO</w:t>
            </w:r>
          </w:p>
        </w:tc>
      </w:tr>
      <w:tr w14:paraId="4991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7C093FB">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7E3EB784">
            <w:pPr>
              <w:rPr>
                <w:vertAlign w:val="baseline"/>
              </w:rPr>
            </w:pPr>
            <w:r>
              <w:rPr>
                <w:rFonts w:hint="eastAsia"/>
                <w:vertAlign w:val="baseline"/>
              </w:rPr>
              <w:t>2024-12-05 17:10:44</w:t>
            </w:r>
          </w:p>
        </w:tc>
        <w:tc>
          <w:tcPr>
            <w:tcW w:w="1164" w:type="dxa"/>
          </w:tcPr>
          <w:p w14:paraId="44108107">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39E88C8B">
            <w:pPr>
              <w:rPr>
                <w:rFonts w:hint="default" w:eastAsiaTheme="minorEastAsia"/>
                <w:vertAlign w:val="baseline"/>
                <w:lang w:val="en-US" w:eastAsia="zh-CN"/>
              </w:rPr>
            </w:pPr>
            <w:r>
              <w:rPr>
                <w:rFonts w:hint="eastAsia"/>
                <w:vertAlign w:val="baseline"/>
              </w:rPr>
              <w:t>SCADA</w:t>
            </w:r>
          </w:p>
        </w:tc>
      </w:tr>
      <w:tr w14:paraId="66D0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217" w:type="dxa"/>
          </w:tcPr>
          <w:p w14:paraId="0EC684FD">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6AD0753">
            <w:pPr>
              <w:rPr>
                <w:vertAlign w:val="baseline"/>
              </w:rPr>
            </w:pPr>
            <w:r>
              <w:rPr>
                <w:rFonts w:hint="eastAsia"/>
                <w:vertAlign w:val="baseline"/>
              </w:rPr>
              <w:t>重庆盘龙站 同塔双回线及母线</w:t>
            </w:r>
          </w:p>
        </w:tc>
      </w:tr>
      <w:tr w14:paraId="546B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71B21B8D">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36D8BD8B">
            <w:pPr>
              <w:rPr>
                <w:vertAlign w:val="baseline"/>
              </w:rPr>
            </w:pPr>
            <w:r>
              <w:rPr>
                <w:rFonts w:hint="eastAsia"/>
                <w:vertAlign w:val="baseline"/>
              </w:rPr>
              <w:t>盘龙500kV变电站</w:t>
            </w:r>
          </w:p>
        </w:tc>
      </w:tr>
      <w:tr w14:paraId="1A7C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463D0B76">
            <w:pPr>
              <w:jc w:val="center"/>
              <w:rPr>
                <w:vertAlign w:val="baseline"/>
              </w:rPr>
            </w:pPr>
            <w:r>
              <w:rPr>
                <w:rFonts w:hint="eastAsia"/>
                <w:vertAlign w:val="baseline"/>
                <w:lang w:val="en-US" w:eastAsia="zh-CN"/>
              </w:rPr>
              <w:t>使用情况</w:t>
            </w:r>
          </w:p>
        </w:tc>
      </w:tr>
      <w:tr w14:paraId="2502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7E1D22DB">
            <w:pPr>
              <w:rPr>
                <w:vertAlign w:val="baseline"/>
              </w:rPr>
            </w:pPr>
            <w:r>
              <w:rPr>
                <w:rFonts w:hint="eastAsia"/>
                <w:vertAlign w:val="baseline"/>
              </w:rPr>
              <w:t>2024年12月5日17时10分44秒，盘龙500kV变电站SCADA系统记录到多重故障：同塔双回线路因外力破坏同时跳闸，故障电流冲击导致该站500kV母线保护动作跳开母线。针对此类多重故障，该站配置了断路器失灵保护和区域稳控系统作为对应的防止或控制措施。双回线跳闸后，全部功率转移至相邻通道（盘龙-张家坝线），但母线保护动作导致站内部分设备失压。断路器失灵保护检测到某个开关拒动后延时跳开相邻开关，隔离故障；区域稳控系统立即切除重庆东部电网部分机组（约1000MW）并降低负荷（约800MW），使功率平衡。SCADA记录显示，故障后约1.5秒，系统恢复稳定，</w:t>
            </w:r>
            <w:r>
              <w:rPr>
                <w:rFonts w:hint="eastAsia"/>
                <w:vertAlign w:val="baseline"/>
                <w:lang w:val="en-US" w:eastAsia="zh-CN"/>
              </w:rPr>
              <w:t>未</w:t>
            </w:r>
            <w:r>
              <w:rPr>
                <w:rFonts w:hint="eastAsia"/>
                <w:vertAlign w:val="baseline"/>
              </w:rPr>
              <w:t>造成</w:t>
            </w:r>
            <w:r>
              <w:rPr>
                <w:rFonts w:hint="eastAsia"/>
                <w:vertAlign w:val="baseline"/>
                <w:lang w:val="en-US" w:eastAsia="zh-CN"/>
              </w:rPr>
              <w:t>停电</w:t>
            </w:r>
            <w:bookmarkStart w:id="0" w:name="_GoBack"/>
            <w:bookmarkEnd w:id="0"/>
            <w:r>
              <w:rPr>
                <w:rFonts w:hint="eastAsia"/>
                <w:vertAlign w:val="baseline"/>
              </w:rPr>
              <w:t>。</w:t>
            </w:r>
          </w:p>
        </w:tc>
      </w:tr>
    </w:tbl>
    <w:p w14:paraId="30CF5FBA"/>
    <w:p w14:paraId="23F628B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BA0C10"/>
    <w:rsid w:val="62A825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110</Words>
  <Characters>157</Characters>
  <Lines>0</Lines>
  <Paragraphs>0</Paragraphs>
  <TotalTime>0</TotalTime>
  <ScaleCrop>false</ScaleCrop>
  <LinksUpToDate>false</LinksUpToDate>
  <CharactersWithSpaces>159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2025-11-07T13:34:00Z</dcterms:created>
  <dc:creator>HP</dc:creator>
  <cp:lastModifiedBy>刘佳雯</cp:lastModifiedBy>
  <dcterms:modified xsi:type="dcterms:W3CDTF">2026-04-14T07:01:31Z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3EDC9B8864EF40B68D419EB6A21F41D0_12</vt:lpwstr>
  </property>
</Properties>
</file>