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18BB5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E843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186AD49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5BAB60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71218REC009</w:t>
            </w:r>
          </w:p>
        </w:tc>
        <w:tc>
          <w:tcPr>
            <w:tcW w:w="1164" w:type="dxa"/>
          </w:tcPr>
          <w:p w14:paraId="664F1CE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1895ACF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CM-0</w:t>
            </w:r>
            <w:r>
              <w:rPr>
                <w:rFonts w:hint="eastAsia"/>
                <w:vertAlign w:val="baseline"/>
                <w:lang w:val="en-US" w:eastAsia="zh-CN"/>
              </w:rPr>
              <w:t>09</w:t>
            </w:r>
          </w:p>
        </w:tc>
      </w:tr>
      <w:tr w14:paraId="74112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16E9A36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6E25F1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00615A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23E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7ACC9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7127CCB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7B8FF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数据通信网交换机</w:t>
            </w:r>
          </w:p>
        </w:tc>
      </w:tr>
      <w:tr w14:paraId="11ABB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2CF7D6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6EA2C02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东江换流站</w:t>
            </w:r>
          </w:p>
        </w:tc>
      </w:tr>
      <w:tr w14:paraId="5AB93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E8F916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58EDB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7304" w:type="dxa"/>
            <w:gridSpan w:val="4"/>
          </w:tcPr>
          <w:p w14:paraId="2122CBC8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东江换流站数据通信网交换机承载着运维管理系统和视频监控业务。该站编制了本厂站实施细则，经运检部批准生效。制度中定义了紧急缺陷为“影响调度机构与厂站间关键业务通信且无备用通道”，严重缺陷为“部分业务中断但可迂回”，一般缺陷为“性能劣化</w:t>
            </w:r>
            <w:bookmarkStart w:id="0" w:name="_GoBack"/>
            <w:bookmarkEnd w:id="0"/>
            <w:r>
              <w:rPr>
                <w:rFonts w:hint="eastAsia" w:eastAsiaTheme="minorEastAsia"/>
                <w:vertAlign w:val="baseline"/>
                <w:lang w:eastAsia="zh-CN"/>
              </w:rPr>
              <w:t>但不影响业务”。2025年发生紧急缺陷1起：2025年8月22日，交换机堆叠分裂导致管理VLAN中断，运维人员立即启用备用交换机，于当日19时（缺陷发现于8时）恢复业务，消缺用时11小时。其余缺陷均按时消缺。全年消缺计划完成率100%。制度文件每年复审，最近一次复审为2025年12月，结论为健全有效。关键信息：管理制度健全，分级明确且经批准；紧急缺陷24h消缺率达100%（11小时消缺），消缺计划完成率100%，无消缺不及时或完成率降低</w:t>
            </w:r>
          </w:p>
        </w:tc>
      </w:tr>
    </w:tbl>
    <w:p w14:paraId="22ACF831"/>
    <w:p w14:paraId="68A286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AE2B55"/>
    <w:rsid w:val="357563ED"/>
    <w:rsid w:val="4607383A"/>
    <w:rsid w:val="76A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59</Characters>
  <Lines>0</Lines>
  <Paragraphs>0</Paragraphs>
  <TotalTime>0</TotalTime>
  <ScaleCrop>false</ScaleCrop>
  <LinksUpToDate>false</LinksUpToDate>
  <CharactersWithSpaces>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2026-04-14T02:39:00Z</dcterms:created>
  <dc:creator>刘佳雯</dc:creator>
  <cp:lastModifiedBy>刘佳雯</cp:lastModifiedBy>
  <dcterms:modified xsi:type="dcterms:W3CDTF">2026-04-14T02:48:43Z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0B245B17360642B9BF9E78278E69EE58_11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