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PHẢN BIỆN TOÀN DIỆN BẢN THẢO SRS RIKKEITRAVEL</w:t>
      </w:r>
    </w:p>
    <w:p>
      <w:r>
        <w:rPr>
          <w:b/>
        </w:rPr>
        <w:t>BƯỚC 1 — BẢNG LỖI PHÁT HIỆN ĐƯỢC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Nội dung lỗi</w:t>
            </w:r>
          </w:p>
        </w:tc>
        <w:tc>
          <w:tcPr>
            <w:tcW w:type="dxa" w:w="2160"/>
          </w:tcPr>
          <w:p>
            <w:r>
              <w:rPr>
                <w:b/>
              </w:rPr>
              <w:t>Phân loại lỗi</w:t>
            </w:r>
          </w:p>
        </w:tc>
        <w:tc>
          <w:tcPr>
            <w:tcW w:type="dxa" w:w="2160"/>
          </w:tcPr>
          <w:p>
            <w:r>
              <w:rPr>
                <w:b/>
              </w:rPr>
              <w:t>Vị trí đúng / Cách khắc phục</w:t>
            </w:r>
          </w:p>
        </w:tc>
      </w:tr>
      <w:tr>
        <w:tc>
          <w:tcPr>
            <w:tcW w:type="dxa" w:w="2160"/>
            <w:vAlign w:val="top"/>
          </w:tcPr>
          <w:p>
            <w:r>
              <w:t>1</w:t>
            </w:r>
          </w:p>
        </w:tc>
        <w:tc>
          <w:tcPr>
            <w:tcW w:type="dxa" w:w="2160"/>
            <w:vAlign w:val="top"/>
          </w:tcPr>
          <w:p>
            <w:r>
              <w:t>[1.2 Scope] chưa nêu đầy đủ phạm vi hệ thống, đối tượng sử dụng và giới hạn phạm vi.</w:t>
            </w:r>
          </w:p>
        </w:tc>
        <w:tc>
          <w:tcPr>
            <w:tcW w:type="dxa" w:w="2160"/>
            <w:vAlign w:val="top"/>
          </w:tcPr>
          <w:p>
            <w:r>
              <w:t>Vi phạm Complete</w:t>
            </w:r>
          </w:p>
        </w:tc>
        <w:tc>
          <w:tcPr>
            <w:tcW w:type="dxa" w:w="2160"/>
            <w:vAlign w:val="top"/>
          </w:tcPr>
          <w:p>
            <w:r>
              <w:t>Bổ sung phạm vi chức năng, đối tượng sử dụng và giới hạn tại 1.2 Scope.</w:t>
            </w:r>
          </w:p>
        </w:tc>
      </w:tr>
      <w:tr>
        <w:tc>
          <w:tcPr>
            <w:tcW w:type="dxa" w:w="2160"/>
            <w:vAlign w:val="top"/>
          </w:tcPr>
          <w:p>
            <w:r>
              <w:t>2</w:t>
            </w:r>
          </w:p>
        </w:tc>
        <w:tc>
          <w:tcPr>
            <w:tcW w:type="dxa" w:w="2160"/>
            <w:vAlign w:val="top"/>
          </w:tcPr>
          <w:p>
            <w:r>
              <w:t>[2.4 Constraints] chứa Actor chính và Use Case.</w:t>
            </w:r>
          </w:p>
        </w:tc>
        <w:tc>
          <w:tcPr>
            <w:tcW w:type="dxa" w:w="2160"/>
            <w:vAlign w:val="top"/>
          </w:tcPr>
          <w:p>
            <w:r>
              <w:t>Sai vị trí IEEE 830</w:t>
            </w:r>
          </w:p>
        </w:tc>
        <w:tc>
          <w:tcPr>
            <w:tcW w:type="dxa" w:w="2160"/>
            <w:vAlign w:val="top"/>
          </w:tcPr>
          <w:p>
            <w:r>
              <w:t>Đưa Actor vào User Classes and Characteristics; Use Case vào phần mô tả chức năng tổng quan.</w:t>
            </w:r>
          </w:p>
        </w:tc>
      </w:tr>
      <w:tr>
        <w:tc>
          <w:tcPr>
            <w:tcW w:type="dxa" w:w="2160"/>
            <w:vAlign w:val="top"/>
          </w:tcPr>
          <w:p>
            <w:r>
              <w:t>3</w:t>
            </w:r>
          </w:p>
        </w:tc>
        <w:tc>
          <w:tcPr>
            <w:tcW w:type="dxa" w:w="2160"/>
            <w:vAlign w:val="top"/>
          </w:tcPr>
          <w:p>
            <w:r>
              <w:t>Actor chính chưa mô tả vai trò và trách nhiệm.</w:t>
            </w:r>
          </w:p>
        </w:tc>
        <w:tc>
          <w:tcPr>
            <w:tcW w:type="dxa" w:w="2160"/>
            <w:vAlign w:val="top"/>
          </w:tcPr>
          <w:p>
            <w:r>
              <w:t>Vi phạm Complete</w:t>
            </w:r>
          </w:p>
        </w:tc>
        <w:tc>
          <w:tcPr>
            <w:tcW w:type="dxa" w:w="2160"/>
            <w:vAlign w:val="top"/>
          </w:tcPr>
          <w:p>
            <w:r>
              <w:t>Mô tả rõ từng nhóm người dùng tại User Classes and Characteristics.</w:t>
            </w:r>
          </w:p>
        </w:tc>
      </w:tr>
      <w:tr>
        <w:tc>
          <w:tcPr>
            <w:tcW w:type="dxa" w:w="2160"/>
            <w:vAlign w:val="top"/>
          </w:tcPr>
          <w:p>
            <w:r>
              <w:t>4</w:t>
            </w:r>
          </w:p>
        </w:tc>
        <w:tc>
          <w:tcPr>
            <w:tcW w:type="dxa" w:w="2160"/>
            <w:vAlign w:val="top"/>
          </w:tcPr>
          <w:p>
            <w:r>
              <w:t>Use Case được liệt kê trong Constraints.</w:t>
            </w:r>
          </w:p>
        </w:tc>
        <w:tc>
          <w:tcPr>
            <w:tcW w:type="dxa" w:w="2160"/>
            <w:vAlign w:val="top"/>
          </w:tcPr>
          <w:p>
            <w:r>
              <w:t>Sai vị trí IEEE 830</w:t>
            </w:r>
          </w:p>
        </w:tc>
        <w:tc>
          <w:tcPr>
            <w:tcW w:type="dxa" w:w="2160"/>
            <w:vAlign w:val="top"/>
          </w:tcPr>
          <w:p>
            <w:r>
              <w:t>Đưa danh sách Use Case vào Overall Description.</w:t>
            </w:r>
          </w:p>
        </w:tc>
      </w:tr>
      <w:tr>
        <w:tc>
          <w:tcPr>
            <w:tcW w:type="dxa" w:w="2160"/>
            <w:vAlign w:val="top"/>
          </w:tcPr>
          <w:p>
            <w:r>
              <w:t>5</w:t>
            </w:r>
          </w:p>
        </w:tc>
        <w:tc>
          <w:tcPr>
            <w:tcW w:type="dxa" w:w="2160"/>
            <w:vAlign w:val="top"/>
          </w:tcPr>
          <w:p>
            <w:r>
              <w:t>REQ-21 dùng từ “nhanh chóng”, không có thời gian cụ thể.</w:t>
            </w:r>
          </w:p>
        </w:tc>
        <w:tc>
          <w:tcPr>
            <w:tcW w:type="dxa" w:w="2160"/>
            <w:vAlign w:val="top"/>
          </w:tcPr>
          <w:p>
            <w:r>
              <w:t>Vi phạm Verifiable, Unambiguous</w:t>
            </w:r>
          </w:p>
        </w:tc>
        <w:tc>
          <w:tcPr>
            <w:tcW w:type="dxa" w:w="2160"/>
            <w:vAlign w:val="top"/>
          </w:tcPr>
          <w:p>
            <w:r>
              <w:t>Quy định thời gian cụ thể, ví dụ không quá 5 phút.</w:t>
            </w:r>
          </w:p>
        </w:tc>
      </w:tr>
      <w:tr>
        <w:tc>
          <w:tcPr>
            <w:tcW w:type="dxa" w:w="2160"/>
            <w:vAlign w:val="top"/>
          </w:tcPr>
          <w:p>
            <w:r>
              <w:t>6</w:t>
            </w:r>
          </w:p>
        </w:tc>
        <w:tc>
          <w:tcPr>
            <w:tcW w:type="dxa" w:w="2160"/>
            <w:vAlign w:val="top"/>
          </w:tcPr>
          <w:p>
            <w:r>
              <w:t>REQ-21 chưa xác định thời điểm bắt đầu tính thời gian.</w:t>
            </w:r>
          </w:p>
        </w:tc>
        <w:tc>
          <w:tcPr>
            <w:tcW w:type="dxa" w:w="2160"/>
            <w:vAlign w:val="top"/>
          </w:tcPr>
          <w:p>
            <w:r>
              <w:t>Vi phạm Complete</w:t>
            </w:r>
          </w:p>
        </w:tc>
        <w:tc>
          <w:tcPr>
            <w:tcW w:type="dxa" w:w="2160"/>
            <w:vAlign w:val="top"/>
          </w:tcPr>
          <w:p>
            <w:r>
              <w:t>Quy định bắt đầu tính từ khi hệ thống tiếp nhận đầy đủ yêu cầu hợp lệ.</w:t>
            </w:r>
          </w:p>
        </w:tc>
      </w:tr>
      <w:tr>
        <w:tc>
          <w:tcPr>
            <w:tcW w:type="dxa" w:w="2160"/>
            <w:vAlign w:val="top"/>
          </w:tcPr>
          <w:p>
            <w:r>
              <w:t>7</w:t>
            </w:r>
          </w:p>
        </w:tc>
        <w:tc>
          <w:tcPr>
            <w:tcW w:type="dxa" w:w="2160"/>
            <w:vAlign w:val="top"/>
          </w:tcPr>
          <w:p>
            <w:r>
              <w:t>REQ-22 chưa xử lý thanh toán không đủ hoặc thất bại.</w:t>
            </w:r>
          </w:p>
        </w:tc>
        <w:tc>
          <w:tcPr>
            <w:tcW w:type="dxa" w:w="2160"/>
            <w:vAlign w:val="top"/>
          </w:tcPr>
          <w:p>
            <w:r>
              <w:t>Vi phạm Complete</w:t>
            </w:r>
          </w:p>
        </w:tc>
        <w:tc>
          <w:tcPr>
            <w:tcW w:type="dxa" w:w="2160"/>
            <w:vAlign w:val="top"/>
          </w:tcPr>
          <w:p>
            <w:r>
              <w:t>Bổ sung hành vi cho thanh toán thiếu và thất bại.</w:t>
            </w:r>
          </w:p>
        </w:tc>
      </w:tr>
      <w:tr>
        <w:tc>
          <w:tcPr>
            <w:tcW w:type="dxa" w:w="2160"/>
            <w:vAlign w:val="top"/>
          </w:tcPr>
          <w:p>
            <w:r>
              <w:t>8</w:t>
            </w:r>
          </w:p>
        </w:tc>
        <w:tc>
          <w:tcPr>
            <w:tcW w:type="dxa" w:w="2160"/>
            <w:vAlign w:val="top"/>
          </w:tcPr>
          <w:p>
            <w:r>
              <w:t>REQ-22 dùng trạng thái “Đã xác nhận” nhưng chưa định nghĩa.</w:t>
            </w:r>
          </w:p>
        </w:tc>
        <w:tc>
          <w:tcPr>
            <w:tcW w:type="dxa" w:w="2160"/>
            <w:vAlign w:val="top"/>
          </w:tcPr>
          <w:p>
            <w:r>
              <w:t>Vi phạm Unambiguous, Complete</w:t>
            </w:r>
          </w:p>
        </w:tc>
        <w:tc>
          <w:tcPr>
            <w:tcW w:type="dxa" w:w="2160"/>
            <w:vAlign w:val="top"/>
          </w:tcPr>
          <w:p>
            <w:r>
              <w:t>Định nghĩa trạng thái và điều kiện chuyển trạng thái.</w:t>
            </w:r>
          </w:p>
        </w:tc>
      </w:tr>
      <w:tr>
        <w:tc>
          <w:tcPr>
            <w:tcW w:type="dxa" w:w="2160"/>
            <w:vAlign w:val="top"/>
          </w:tcPr>
          <w:p>
            <w:r>
              <w:t>9</w:t>
            </w:r>
          </w:p>
        </w:tc>
        <w:tc>
          <w:tcPr>
            <w:tcW w:type="dxa" w:w="2160"/>
            <w:vAlign w:val="top"/>
          </w:tcPr>
          <w:p>
            <w:r>
              <w:t>REQ-23 cho phép chỉnh sửa sau khi thanh toán.</w:t>
            </w:r>
          </w:p>
        </w:tc>
        <w:tc>
          <w:tcPr>
            <w:tcW w:type="dxa" w:w="2160"/>
            <w:vAlign w:val="top"/>
          </w:tcPr>
          <w:p>
            <w:r>
              <w:t>Vi phạm Consistent</w:t>
            </w:r>
          </w:p>
        </w:tc>
        <w:tc>
          <w:tcPr>
            <w:tcW w:type="dxa" w:w="2160"/>
            <w:vAlign w:val="top"/>
          </w:tcPr>
          <w:p>
            <w:r>
              <w:t>Thống nhất quy tắc với REQ-24.</w:t>
            </w:r>
          </w:p>
        </w:tc>
      </w:tr>
      <w:tr>
        <w:tc>
          <w:tcPr>
            <w:tcW w:type="dxa" w:w="2160"/>
            <w:vAlign w:val="top"/>
          </w:tcPr>
          <w:p>
            <w:r>
              <w:t>10</w:t>
            </w:r>
          </w:p>
        </w:tc>
        <w:tc>
          <w:tcPr>
            <w:tcW w:type="dxa" w:w="2160"/>
            <w:vAlign w:val="top"/>
          </w:tcPr>
          <w:p>
            <w:r>
              <w:t>REQ-24 khóa báo giá sau thanh toán, mâu thuẫn REQ-23.</w:t>
            </w:r>
          </w:p>
        </w:tc>
        <w:tc>
          <w:tcPr>
            <w:tcW w:type="dxa" w:w="2160"/>
            <w:vAlign w:val="top"/>
          </w:tcPr>
          <w:p>
            <w:r>
              <w:t>Vi phạm Consistent</w:t>
            </w:r>
          </w:p>
        </w:tc>
        <w:tc>
          <w:tcPr>
            <w:tcW w:type="dxa" w:w="2160"/>
            <w:vAlign w:val="top"/>
          </w:tcPr>
          <w:p>
            <w:r>
              <w:t>Giữ một quy tắc nghiệp vụ duy nhất.</w:t>
            </w:r>
          </w:p>
        </w:tc>
      </w:tr>
      <w:tr>
        <w:tc>
          <w:tcPr>
            <w:tcW w:type="dxa" w:w="2160"/>
            <w:vAlign w:val="top"/>
          </w:tcPr>
          <w:p>
            <w:r>
              <w:t>11</w:t>
            </w:r>
          </w:p>
        </w:tc>
        <w:tc>
          <w:tcPr>
            <w:tcW w:type="dxa" w:w="2160"/>
            <w:vAlign w:val="top"/>
          </w:tcPr>
          <w:p>
            <w:r>
              <w:t>REQ-23 và REQ-24 nằm ở các trang khác nhau nhưng không được rà soát nhất quán.</w:t>
            </w:r>
          </w:p>
        </w:tc>
        <w:tc>
          <w:tcPr>
            <w:tcW w:type="dxa" w:w="2160"/>
            <w:vAlign w:val="top"/>
          </w:tcPr>
          <w:p>
            <w:r>
              <w:t>Vi phạm Consistent</w:t>
            </w:r>
          </w:p>
        </w:tc>
        <w:tc>
          <w:tcPr>
            <w:tcW w:type="dxa" w:w="2160"/>
            <w:vAlign w:val="top"/>
          </w:tcPr>
          <w:p>
            <w:r>
              <w:t>Rà soát toàn tài liệu và loại bỏ mâu thuẫn.</w:t>
            </w:r>
          </w:p>
        </w:tc>
      </w:tr>
      <w:tr>
        <w:tc>
          <w:tcPr>
            <w:tcW w:type="dxa" w:w="2160"/>
            <w:vAlign w:val="top"/>
          </w:tcPr>
          <w:p>
            <w:r>
              <w:t>12</w:t>
            </w:r>
          </w:p>
        </w:tc>
        <w:tc>
          <w:tcPr>
            <w:tcW w:type="dxa" w:w="2160"/>
            <w:vAlign w:val="top"/>
          </w:tcPr>
          <w:p>
            <w:r>
              <w:t>REQ-25 nói “có thể được cân nhắc bổ sung sau”, chưa có mức ưu tiên.</w:t>
            </w:r>
          </w:p>
        </w:tc>
        <w:tc>
          <w:tcPr>
            <w:tcW w:type="dxa" w:w="2160"/>
            <w:vAlign w:val="top"/>
          </w:tcPr>
          <w:p>
            <w:r>
              <w:t>Vi phạm Ranked/Prioritized</w:t>
            </w:r>
          </w:p>
        </w:tc>
        <w:tc>
          <w:tcPr>
            <w:tcW w:type="dxa" w:w="2160"/>
            <w:vAlign w:val="top"/>
          </w:tcPr>
          <w:p>
            <w:r>
              <w:t>Gán Priority: Could Have.</w:t>
            </w:r>
          </w:p>
        </w:tc>
      </w:tr>
      <w:tr>
        <w:tc>
          <w:tcPr>
            <w:tcW w:type="dxa" w:w="2160"/>
            <w:vAlign w:val="top"/>
          </w:tcPr>
          <w:p>
            <w:r>
              <w:t>13</w:t>
            </w:r>
          </w:p>
        </w:tc>
        <w:tc>
          <w:tcPr>
            <w:tcW w:type="dxa" w:w="2160"/>
            <w:vAlign w:val="top"/>
          </w:tcPr>
          <w:p>
            <w:r>
              <w:t>REQ-25 chưa có tiêu chí kiểm chứng chức năng PDF.</w:t>
            </w:r>
          </w:p>
        </w:tc>
        <w:tc>
          <w:tcPr>
            <w:tcW w:type="dxa" w:w="2160"/>
            <w:vAlign w:val="top"/>
          </w:tcPr>
          <w:p>
            <w:r>
              <w:t>Vi phạm Verifiable, Complete</w:t>
            </w:r>
          </w:p>
        </w:tc>
        <w:tc>
          <w:tcPr>
            <w:tcW w:type="dxa" w:w="2160"/>
            <w:vAlign w:val="top"/>
          </w:tcPr>
          <w:p>
            <w:r>
              <w:t>Mô tả hành vi và nội dung PDF cần tạo.</w:t>
            </w:r>
          </w:p>
        </w:tc>
      </w:tr>
      <w:tr>
        <w:tc>
          <w:tcPr>
            <w:tcW w:type="dxa" w:w="2160"/>
            <w:vAlign w:val="top"/>
          </w:tcPr>
          <w:p>
            <w:r>
              <w:t>14</w:t>
            </w:r>
          </w:p>
        </w:tc>
        <w:tc>
          <w:tcPr>
            <w:tcW w:type="dxa" w:w="2160"/>
            <w:vAlign w:val="top"/>
          </w:tcPr>
          <w:p>
            <w:r>
              <w:t>[1.3 Definitions] ghi “Sơ đồ ERD...” nhưng ERD là sơ đồ, không phải định nghĩa.</w:t>
            </w:r>
          </w:p>
        </w:tc>
        <w:tc>
          <w:tcPr>
            <w:tcW w:type="dxa" w:w="2160"/>
            <w:vAlign w:val="top"/>
          </w:tcPr>
          <w:p>
            <w:r>
              <w:t>Sai vị trí IEEE 830</w:t>
            </w:r>
          </w:p>
        </w:tc>
        <w:tc>
          <w:tcPr>
            <w:tcW w:type="dxa" w:w="2160"/>
            <w:vAlign w:val="top"/>
          </w:tcPr>
          <w:p>
            <w:r>
              <w:t>Định nghĩa ERD bằng thuật ngữ; sơ đồ đặt ở phần mô hình dữ liệu/phụ lục.</w:t>
            </w:r>
          </w:p>
        </w:tc>
      </w:tr>
      <w:tr>
        <w:tc>
          <w:tcPr>
            <w:tcW w:type="dxa" w:w="2160"/>
            <w:vAlign w:val="top"/>
          </w:tcPr>
          <w:p>
            <w:r>
              <w:t>15</w:t>
            </w:r>
          </w:p>
        </w:tc>
        <w:tc>
          <w:tcPr>
            <w:tcW w:type="dxa" w:w="2160"/>
            <w:vAlign w:val="top"/>
          </w:tcPr>
          <w:p>
            <w:r>
              <w:t>Mô tả ERD không nêu rõ quan hệ và dữ liệu.</w:t>
            </w:r>
          </w:p>
        </w:tc>
        <w:tc>
          <w:tcPr>
            <w:tcW w:type="dxa" w:w="2160"/>
            <w:vAlign w:val="top"/>
          </w:tcPr>
          <w:p>
            <w:r>
              <w:t>Vi phạm Complete</w:t>
            </w:r>
          </w:p>
        </w:tc>
        <w:tc>
          <w:tcPr>
            <w:tcW w:type="dxa" w:w="2160"/>
            <w:vAlign w:val="top"/>
          </w:tcPr>
          <w:p>
            <w:r>
              <w:t>Bổ sung mô tả dữ liệu/quan hệ nếu SRS yêu cầu.</w:t>
            </w:r>
          </w:p>
        </w:tc>
      </w:tr>
      <w:tr>
        <w:tc>
          <w:tcPr>
            <w:tcW w:type="dxa" w:w="2160"/>
            <w:vAlign w:val="top"/>
          </w:tcPr>
          <w:p>
            <w:r>
              <w:t>16</w:t>
            </w:r>
          </w:p>
        </w:tc>
        <w:tc>
          <w:tcPr>
            <w:tcW w:type="dxa" w:w="2160"/>
            <w:vAlign w:val="top"/>
          </w:tcPr>
          <w:p>
            <w:r>
              <w:t>REQ-21–25 chưa có tiêu chí kiểm thử rõ ràng.</w:t>
            </w:r>
          </w:p>
        </w:tc>
        <w:tc>
          <w:tcPr>
            <w:tcW w:type="dxa" w:w="2160"/>
            <w:vAlign w:val="top"/>
          </w:tcPr>
          <w:p>
            <w:r>
              <w:t>Vi phạm Verifiable</w:t>
            </w:r>
          </w:p>
        </w:tc>
        <w:tc>
          <w:tcPr>
            <w:tcW w:type="dxa" w:w="2160"/>
            <w:vAlign w:val="top"/>
          </w:tcPr>
          <w:p>
            <w:r>
              <w:t>Viết theo điều kiện đầu vào → hành động → kết quả.</w:t>
            </w:r>
          </w:p>
        </w:tc>
      </w:tr>
      <w:tr>
        <w:tc>
          <w:tcPr>
            <w:tcW w:type="dxa" w:w="2160"/>
            <w:vAlign w:val="top"/>
          </w:tcPr>
          <w:p>
            <w:r>
              <w:t>17</w:t>
            </w:r>
          </w:p>
        </w:tc>
        <w:tc>
          <w:tcPr>
            <w:tcW w:type="dxa" w:w="2160"/>
            <w:vAlign w:val="top"/>
          </w:tcPr>
          <w:p>
            <w:r>
              <w:t>Các yêu cầu chưa có mức ưu tiên.</w:t>
            </w:r>
          </w:p>
        </w:tc>
        <w:tc>
          <w:tcPr>
            <w:tcW w:type="dxa" w:w="2160"/>
            <w:vAlign w:val="top"/>
          </w:tcPr>
          <w:p>
            <w:r>
              <w:t>Vi phạm Ranked/Prioritized</w:t>
            </w:r>
          </w:p>
        </w:tc>
        <w:tc>
          <w:tcPr>
            <w:tcW w:type="dxa" w:w="2160"/>
            <w:vAlign w:val="top"/>
          </w:tcPr>
          <w:p>
            <w:r>
              <w:t>Gắn Must Have/Should Have/Could Have phù hợp.</w:t>
            </w:r>
          </w:p>
        </w:tc>
      </w:tr>
      <w:tr>
        <w:tc>
          <w:tcPr>
            <w:tcW w:type="dxa" w:w="2160"/>
            <w:vAlign w:val="top"/>
          </w:tcPr>
          <w:p>
            <w:r>
              <w:t>18</w:t>
            </w:r>
          </w:p>
        </w:tc>
        <w:tc>
          <w:tcPr>
            <w:tcW w:type="dxa" w:w="2160"/>
            <w:vAlign w:val="top"/>
          </w:tcPr>
          <w:p>
            <w:r>
              <w:t>Thiếu trường hợp dữ liệu không hợp lệ và ngoại lệ thanh toán.</w:t>
            </w:r>
          </w:p>
        </w:tc>
        <w:tc>
          <w:tcPr>
            <w:tcW w:type="dxa" w:w="2160"/>
            <w:vAlign w:val="top"/>
          </w:tcPr>
          <w:p>
            <w:r>
              <w:t>Vi phạm Complete</w:t>
            </w:r>
          </w:p>
        </w:tc>
        <w:tc>
          <w:tcPr>
            <w:tcW w:type="dxa" w:w="2160"/>
            <w:vAlign w:val="top"/>
          </w:tcPr>
          <w:p>
            <w:r>
              <w:t>Bổ sung các trường hợp ngoại lệ và phản hồi hệ thống.</w:t>
            </w:r>
          </w:p>
        </w:tc>
      </w:tr>
      <w:tr>
        <w:tc>
          <w:tcPr>
            <w:tcW w:type="dxa" w:w="2160"/>
            <w:vAlign w:val="top"/>
          </w:tcPr>
          <w:p>
            <w:r>
              <w:t>19</w:t>
            </w:r>
          </w:p>
        </w:tc>
        <w:tc>
          <w:tcPr>
            <w:tcW w:type="dxa" w:w="2160"/>
            <w:vAlign w:val="top"/>
          </w:tcPr>
          <w:p>
            <w:r>
              <w:t>Chưa quy định rõ quyền chỉnh sửa báo giá trước/sau thanh toán.</w:t>
            </w:r>
          </w:p>
        </w:tc>
        <w:tc>
          <w:tcPr>
            <w:tcW w:type="dxa" w:w="2160"/>
            <w:vAlign w:val="top"/>
          </w:tcPr>
          <w:p>
            <w:r>
              <w:t>Vi phạm Unambiguous, Complete</w:t>
            </w:r>
          </w:p>
        </w:tc>
        <w:tc>
          <w:tcPr>
            <w:tcW w:type="dxa" w:w="2160"/>
            <w:vAlign w:val="top"/>
          </w:tcPr>
          <w:p>
            <w:r>
              <w:t>Quy định rõ trước thanh toán được sửa; sau thanh toán khóa.</w:t>
            </w:r>
          </w:p>
        </w:tc>
      </w:tr>
      <w:tr>
        <w:tc>
          <w:tcPr>
            <w:tcW w:type="dxa" w:w="2160"/>
            <w:vAlign w:val="top"/>
          </w:tcPr>
          <w:p>
            <w:r>
              <w:t>20</w:t>
            </w:r>
          </w:p>
        </w:tc>
        <w:tc>
          <w:tcPr>
            <w:tcW w:type="dxa" w:w="2160"/>
            <w:vAlign w:val="top"/>
          </w:tcPr>
          <w:p>
            <w:r>
              <w:t>Thuật ngữ “xác nhận thanh toán”, “thanh toán đủ 100%”, “Đã xác nhận” chưa được chuẩn hóa.</w:t>
            </w:r>
          </w:p>
        </w:tc>
        <w:tc>
          <w:tcPr>
            <w:tcW w:type="dxa" w:w="2160"/>
            <w:vAlign w:val="top"/>
          </w:tcPr>
          <w:p>
            <w:r>
              <w:t>Vi phạm Unambiguous, Consistent</w:t>
            </w:r>
          </w:p>
        </w:tc>
        <w:tc>
          <w:tcPr>
            <w:tcW w:type="dxa" w:w="2160"/>
            <w:vAlign w:val="top"/>
          </w:tcPr>
          <w:p>
            <w:r>
              <w:t>Chuẩn hóa thuật ngữ và định nghĩa từng trạng thái.</w:t>
            </w:r>
          </w:p>
        </w:tc>
      </w:tr>
    </w:tbl>
    <w:p/>
    <w:p>
      <w:r>
        <w:t>Các đặc tính vàng đã phát hiện: Complete, Verifiable, Unambiguous, Consistent, Ranked/Prioritized, Correct.</w:t>
      </w:r>
    </w:p>
    <w:p>
      <w:r>
        <w:rPr>
          <w:b/>
        </w:rPr>
        <w:t>BƯỚC 2 — BẢN CHỈNH SỬA HOÀN CHỈNH</w:t>
      </w:r>
    </w:p>
    <w:p>
      <w:r>
        <w:rPr>
          <w:b/>
          <w:sz w:val="26"/>
        </w:rPr>
        <w:t>1.2 Scope — Phạm vi</w:t>
      </w:r>
    </w:p>
    <w:p>
      <w:pPr>
        <w:spacing w:after="80"/>
      </w:pPr>
      <w:r>
        <w:t>Tên phân hệ: Đặt tour trọn gói.</w:t>
      </w:r>
    </w:p>
    <w:p>
      <w:pPr>
        <w:spacing w:after="80"/>
      </w:pPr>
    </w:p>
    <w:p>
      <w:pPr>
        <w:spacing w:after="80"/>
      </w:pPr>
      <w:r>
        <w:t>Phân hệ hỗ trợ khách hàng doanh nghiệp gửi yêu cầu đặt tour trọn gói cho đoàn từ 10 người trở lên, tiếp nhận và xử lý báo giá, xác nhận thanh toán và quản lý trạng thái đơn đặt tour.</w:t>
      </w:r>
    </w:p>
    <w:p>
      <w:pPr>
        <w:spacing w:after="80"/>
      </w:pPr>
    </w:p>
    <w:p>
      <w:pPr>
        <w:spacing w:after="80"/>
      </w:pPr>
      <w:r>
        <w:t>Phân hệ có hai nhóm người dùng chính:</w:t>
      </w:r>
    </w:p>
    <w:p>
      <w:pPr>
        <w:spacing w:after="80"/>
      </w:pPr>
      <w:r>
        <w:t>• Nhân viên đặt tour phía khách hàng doanh nghiệp: tạo yêu cầu đặt tour, xem báo giá và xác nhận thanh toán.</w:t>
      </w:r>
    </w:p>
    <w:p>
      <w:pPr>
        <w:spacing w:after="80"/>
      </w:pPr>
      <w:r>
        <w:t>• Điều phối viên RikkeiTravel: tiếp nhận yêu cầu, lập/chỉnh sửa báo giá và xử lý đơn đặt tour.</w:t>
      </w:r>
    </w:p>
    <w:p>
      <w:pPr>
        <w:spacing w:after="80"/>
      </w:pPr>
    </w:p>
    <w:p>
      <w:pPr>
        <w:spacing w:after="80"/>
      </w:pPr>
      <w:r>
        <w:t>Ngoài phạm vi: Các chức năng quản lý tour đơn lẻ cho khách hàng cá nhân không thuộc phạm vi của phân hệ này.</w:t>
      </w:r>
    </w:p>
    <w:p>
      <w:r>
        <w:rPr>
          <w:b/>
          <w:sz w:val="26"/>
        </w:rPr>
        <w:t>2.4 User Classes and Characteristics</w:t>
      </w:r>
    </w:p>
    <w:p>
      <w:pPr>
        <w:spacing w:after="80"/>
      </w:pPr>
      <w:r>
        <w:t>2.4.1 Nhân viên đặt tour</w:t>
      </w:r>
    </w:p>
    <w:p>
      <w:pPr>
        <w:spacing w:after="80"/>
      </w:pPr>
      <w:r>
        <w:t>Là người đại diện cho khách hàng doanh nghiệp, có quyền:</w:t>
      </w:r>
    </w:p>
    <w:p>
      <w:pPr>
        <w:spacing w:after="80"/>
      </w:pPr>
      <w:r>
        <w:t>• Tạo yêu cầu đặt tour.</w:t>
      </w:r>
    </w:p>
    <w:p>
      <w:pPr>
        <w:spacing w:after="80"/>
      </w:pPr>
      <w:r>
        <w:t>• Cung cấp thông tin đoàn.</w:t>
      </w:r>
    </w:p>
    <w:p>
      <w:pPr>
        <w:spacing w:after="80"/>
      </w:pPr>
      <w:r>
        <w:t>• Xem báo giá.</w:t>
      </w:r>
    </w:p>
    <w:p>
      <w:pPr>
        <w:spacing w:after="80"/>
      </w:pPr>
      <w:r>
        <w:t>• Xác nhận thanh toán.</w:t>
      </w:r>
    </w:p>
    <w:p>
      <w:pPr>
        <w:spacing w:after="80"/>
      </w:pPr>
      <w:r>
        <w:t>• Theo dõi trạng thái đơn đặt tour.</w:t>
      </w:r>
    </w:p>
    <w:p>
      <w:pPr>
        <w:spacing w:after="80"/>
      </w:pPr>
    </w:p>
    <w:p>
      <w:pPr>
        <w:spacing w:after="80"/>
      </w:pPr>
      <w:r>
        <w:t>2.4.2 Điều phối viên RikkeiTravel</w:t>
      </w:r>
    </w:p>
    <w:p>
      <w:pPr>
        <w:spacing w:after="80"/>
      </w:pPr>
      <w:r>
        <w:t>Có quyền:</w:t>
      </w:r>
    </w:p>
    <w:p>
      <w:pPr>
        <w:spacing w:after="80"/>
      </w:pPr>
      <w:r>
        <w:t>• Tiếp nhận yêu cầu đặt tour.</w:t>
      </w:r>
    </w:p>
    <w:p>
      <w:pPr>
        <w:spacing w:after="80"/>
      </w:pPr>
      <w:r>
        <w:t>• Kiểm tra thông tin yêu cầu.</w:t>
      </w:r>
    </w:p>
    <w:p>
      <w:pPr>
        <w:spacing w:after="80"/>
      </w:pPr>
      <w:r>
        <w:t>• Lập báo giá.</w:t>
      </w:r>
    </w:p>
    <w:p>
      <w:pPr>
        <w:spacing w:after="80"/>
      </w:pPr>
      <w:r>
        <w:t>• Chỉnh sửa báo giá trước khi thanh toán được xác nhận.</w:t>
      </w:r>
    </w:p>
    <w:p>
      <w:pPr>
        <w:spacing w:after="80"/>
      </w:pPr>
      <w:r>
        <w:t>• Theo dõi trạng thái thanh toán và đơn đặt tour.</w:t>
      </w:r>
    </w:p>
    <w:p>
      <w:r>
        <w:rPr>
          <w:b/>
          <w:sz w:val="26"/>
        </w:rPr>
        <w:t>2.5 System Functions / Use Case Overview</w:t>
      </w:r>
    </w:p>
    <w:p>
      <w:pPr>
        <w:spacing w:after="80"/>
      </w:pPr>
      <w:r>
        <w:t>Các chức năng chính:</w:t>
      </w:r>
    </w:p>
    <w:p>
      <w:pPr>
        <w:spacing w:after="80"/>
      </w:pPr>
      <w:r>
        <w:t>1. Tạo yêu cầu đặt tour.</w:t>
      </w:r>
    </w:p>
    <w:p>
      <w:pPr>
        <w:spacing w:after="80"/>
      </w:pPr>
      <w:r>
        <w:t>2. Lập và gửi báo giá.</w:t>
      </w:r>
    </w:p>
    <w:p>
      <w:pPr>
        <w:spacing w:after="80"/>
      </w:pPr>
      <w:r>
        <w:t>3. Duyệt/xác nhận báo giá.</w:t>
      </w:r>
    </w:p>
    <w:p>
      <w:pPr>
        <w:spacing w:after="80"/>
      </w:pPr>
      <w:r>
        <w:t>4. Xác nhận thanh toán.</w:t>
      </w:r>
    </w:p>
    <w:p>
      <w:pPr>
        <w:spacing w:after="80"/>
      </w:pPr>
      <w:r>
        <w:t>5. Quản lý trạng thái đơn đặt tour.</w:t>
      </w:r>
    </w:p>
    <w:p>
      <w:pPr>
        <w:spacing w:after="80"/>
      </w:pPr>
      <w:r>
        <w:t>6. Xuất báo giá PDF — mức ưu tiên thấp, có thể triển khai ở giai đoạn sau.</w:t>
      </w:r>
    </w:p>
    <w:p>
      <w:pPr>
        <w:spacing w:after="80"/>
      </w:pPr>
    </w:p>
    <w:p>
      <w:pPr>
        <w:spacing w:after="80"/>
      </w:pPr>
      <w:r>
        <w:t>Actor: Nhân viên đặt tour; Điều phối viên RikkeiTravel.</w:t>
      </w:r>
    </w:p>
    <w:p>
      <w:pPr>
        <w:spacing w:after="80"/>
      </w:pPr>
      <w:r>
        <w:t>Use Case: Tạo yêu cầu đặt tour; Xử lý yêu cầu; Lập báo giá; Duyệt/xác nhận báo giá; Xác nhận thanh toán; Quản lý trạng thái đơn.</w:t>
      </w:r>
    </w:p>
    <w:p>
      <w:r>
        <w:rPr>
          <w:b/>
          <w:sz w:val="26"/>
        </w:rPr>
        <w:t>1.3 Definitions — Thuật ngữ và định nghĩa</w:t>
      </w:r>
    </w:p>
    <w:p>
      <w:pPr>
        <w:spacing w:after="80"/>
      </w:pPr>
      <w:r>
        <w:t>Đặt tour trọn gói: Hình thức đặt tour dành cho đoàn khách doanh nghiệp từ 10 người trở lên.</w:t>
      </w:r>
    </w:p>
    <w:p>
      <w:pPr>
        <w:spacing w:after="80"/>
      </w:pPr>
      <w:r>
        <w:t>Báo giá: Thông tin về chi phí dự kiến của tour được RikkeiTravel gửi cho khách hàng doanh nghiệp.</w:t>
      </w:r>
    </w:p>
    <w:p>
      <w:pPr>
        <w:spacing w:after="80"/>
      </w:pPr>
      <w:r>
        <w:t>Hợp đồng: Văn bản ghi nhận thỏa thuận cung cấp dịch vụ tour giữa khách hàng doanh nghiệp và RikkeiTravel.</w:t>
      </w:r>
    </w:p>
    <w:p>
      <w:pPr>
        <w:spacing w:after="80"/>
      </w:pPr>
      <w:r>
        <w:t>Thanh toán đủ: Số tiền hệ thống xác nhận đã thanh toán bằng 100% giá trị cần thanh toán theo hợp đồng.</w:t>
      </w:r>
    </w:p>
    <w:p>
      <w:pPr>
        <w:spacing w:after="80"/>
      </w:pPr>
      <w:r>
        <w:t>Đã xác nhận: Trạng thái của đơn đặt tour sau khi hệ thống xác nhận khách hàng đã thanh toán đủ 100% giá trị cần thanh toán.</w:t>
      </w:r>
    </w:p>
    <w:p>
      <w:pPr>
        <w:spacing w:after="80"/>
      </w:pPr>
      <w:r>
        <w:t>ERD: Entity Relationship Diagram, sơ đồ mô tả các thực thể dữ liệu và mối quan hệ giữa chúng.</w:t>
      </w:r>
    </w:p>
    <w:p>
      <w:pPr>
        <w:spacing w:after="80"/>
      </w:pPr>
    </w:p>
    <w:p>
      <w:pPr>
        <w:spacing w:after="80"/>
      </w:pPr>
      <w:r>
        <w:t>Lưu ý: Không đặt nội dung “Sơ đồ ERD lưu trữ...” trực tiếp trong mục Definitions. Nếu cần đưa sơ đồ ERD, nên đặt ở phần mô hình dữ liệu/tài liệu thiết kế hoặc phụ lục theo cấu trúc SRS của bài.</w:t>
      </w:r>
    </w:p>
    <w:p>
      <w:r>
        <w:rPr>
          <w:b/>
          <w:sz w:val="26"/>
        </w:rPr>
        <w:t>3.2 Functional Requirements — REQ-21</w:t>
      </w:r>
    </w:p>
    <w:p>
      <w:pPr>
        <w:spacing w:after="80"/>
      </w:pPr>
      <w:r>
        <w:t>Priority: Must Have</w:t>
      </w:r>
    </w:p>
    <w:p>
      <w:pPr>
        <w:spacing w:after="80"/>
      </w:pPr>
    </w:p>
    <w:p>
      <w:pPr>
        <w:spacing w:after="80"/>
      </w:pPr>
      <w:r>
        <w:t>Requirement:</w:t>
      </w:r>
    </w:p>
    <w:p>
      <w:pPr>
        <w:spacing w:after="80"/>
      </w:pPr>
      <w:r>
        <w:t>Khi hệ thống tiếp nhận đầy đủ thông tin của một yêu cầu đặt tour hợp lệ, hệ thống phải gửi báo giá cho Nhân viên đặt tour trong thời gian không quá 5 phút kể từ thời điểm yêu cầu được tiếp nhận.</w:t>
      </w:r>
    </w:p>
    <w:p>
      <w:pPr>
        <w:spacing w:after="80"/>
      </w:pPr>
    </w:p>
    <w:p>
      <w:pPr>
        <w:spacing w:after="80"/>
      </w:pPr>
      <w:r>
        <w:t>Tiêu chí kiểm chứng:</w:t>
      </w:r>
    </w:p>
    <w:p>
      <w:pPr>
        <w:spacing w:after="80"/>
      </w:pPr>
      <w:r>
        <w:t>• Đầu vào: Yêu cầu đặt tour hợp lệ và đầy đủ thông tin.</w:t>
      </w:r>
    </w:p>
    <w:p>
      <w:pPr>
        <w:spacing w:after="80"/>
      </w:pPr>
      <w:r>
        <w:t>• Hành động: Hệ thống tiếp nhận yêu cầu.</w:t>
      </w:r>
    </w:p>
    <w:p>
      <w:pPr>
        <w:spacing w:after="80"/>
      </w:pPr>
      <w:r>
        <w:t>• Kết quả: Báo giá được gửi cho khách hàng trong thời gian ≤ 5 phút.</w:t>
      </w:r>
    </w:p>
    <w:p>
      <w:r>
        <w:rPr>
          <w:b/>
          <w:sz w:val="26"/>
        </w:rPr>
        <w:t>REQ-22 — Xác nhận trạng thái sau thanh toán</w:t>
      </w:r>
    </w:p>
    <w:p>
      <w:pPr>
        <w:spacing w:after="80"/>
      </w:pPr>
      <w:r>
        <w:t>Priority: Must Have</w:t>
      </w:r>
    </w:p>
    <w:p>
      <w:pPr>
        <w:spacing w:after="80"/>
      </w:pPr>
    </w:p>
    <w:p>
      <w:pPr>
        <w:spacing w:after="80"/>
      </w:pPr>
      <w:r>
        <w:t>Khi hệ thống nhận được thông báo thanh toán và xác nhận số tiền khách hàng đã thanh toán bằng 100% giá trị cần thanh toán theo hợp đồng, hệ thống phải tự động chuyển trạng thái đơn đặt tour thành “Đã xác nhận”.</w:t>
      </w:r>
    </w:p>
    <w:p>
      <w:pPr>
        <w:spacing w:after="80"/>
      </w:pPr>
    </w:p>
    <w:p>
      <w:pPr>
        <w:spacing w:after="80"/>
      </w:pPr>
      <w:r>
        <w:t>Nếu số tiền thanh toán nhỏ hơn 100%, hệ thống không được chuyển đơn sang trạng thái “Đã xác nhận” và phải duy trì trạng thái thanh toán hiện tại.</w:t>
      </w:r>
    </w:p>
    <w:p>
      <w:pPr>
        <w:spacing w:after="80"/>
      </w:pPr>
    </w:p>
    <w:p>
      <w:pPr>
        <w:spacing w:after="80"/>
      </w:pPr>
      <w:r>
        <w:t>Nếu giao dịch thanh toán thất bại, hệ thống không được chuyển đơn sang trạng thái “Đã xác nhận” và phải thông báo trạng thái thanh toán cho Nhân viên đặt tour.</w:t>
      </w:r>
    </w:p>
    <w:p>
      <w:r>
        <w:rPr>
          <w:b/>
          <w:sz w:val="26"/>
        </w:rPr>
        <w:t>REQ-23 và REQ-24 — Quy tắc chỉnh sửa báo giá</w:t>
      </w:r>
    </w:p>
    <w:p>
      <w:pPr>
        <w:spacing w:after="80"/>
      </w:pPr>
      <w:r>
        <w:t>Quy tắc nghiệp vụ thống nhất:</w:t>
      </w:r>
    </w:p>
    <w:p>
      <w:pPr>
        <w:spacing w:after="80"/>
      </w:pPr>
      <w:r>
        <w:t>Sau khi hệ thống xác nhận khách hàng đã thanh toán đủ 100% giá trị cần thanh toán, toàn bộ thông tin báo giá của đơn đặt tour phải được khóa và không được phép chỉnh sửa trực tiếp bởi bất kỳ người dùng nào.</w:t>
      </w:r>
    </w:p>
    <w:p>
      <w:pPr>
        <w:spacing w:after="80"/>
      </w:pPr>
    </w:p>
    <w:p>
      <w:pPr>
        <w:spacing w:after="80"/>
      </w:pPr>
      <w:r>
        <w:t>Trước khi thanh toán được xác nhận, Điều phối viên được phép chỉnh sửa giá tour, số lượng khách, các dịch vụ và tổng giá trị báo giá.</w:t>
      </w:r>
    </w:p>
    <w:p>
      <w:pPr>
        <w:spacing w:after="80"/>
      </w:pPr>
    </w:p>
    <w:p>
      <w:pPr>
        <w:spacing w:after="80"/>
      </w:pPr>
      <w:r>
        <w:t>Sau khi thanh toán được xác nhận, Điều phối viên không được chỉnh sửa trực tiếp báo giá. Nếu phát sinh nhu cầu thay đổi, hệ thống phải xử lý bằng quy trình điều chỉnh riêng và lưu lịch sử thay đổi.</w:t>
      </w:r>
    </w:p>
    <w:p>
      <w:pPr>
        <w:spacing w:after="80"/>
      </w:pPr>
    </w:p>
    <w:p>
      <w:pPr>
        <w:spacing w:after="80"/>
      </w:pPr>
      <w:r>
        <w:t>REQ-23 — Chỉnh sửa báo giá trước thanh toán</w:t>
      </w:r>
    </w:p>
    <w:p>
      <w:pPr>
        <w:spacing w:after="80"/>
      </w:pPr>
      <w:r>
        <w:t>Priority: Must Have</w:t>
      </w:r>
    </w:p>
    <w:p>
      <w:pPr>
        <w:spacing w:after="80"/>
      </w:pPr>
      <w:r>
        <w:t>Điều phối viên RikkeiTravel được phép chỉnh sửa thông tin báo giá khi đơn đặt tour chưa được hệ thống xác nhận thanh toán đủ 100%.</w:t>
      </w:r>
    </w:p>
    <w:p>
      <w:pPr>
        <w:spacing w:after="80"/>
      </w:pPr>
    </w:p>
    <w:p>
      <w:pPr>
        <w:spacing w:after="80"/>
      </w:pPr>
      <w:r>
        <w:t>REQ-24 — Khóa báo giá sau thanh toán</w:t>
      </w:r>
    </w:p>
    <w:p>
      <w:pPr>
        <w:spacing w:after="80"/>
      </w:pPr>
      <w:r>
        <w:t>Priority: Must Have</w:t>
      </w:r>
    </w:p>
    <w:p>
      <w:pPr>
        <w:spacing w:after="80"/>
      </w:pPr>
      <w:r>
        <w:t>Khi hệ thống xác nhận khách hàng đã thanh toán đủ 100% giá trị cần thanh toán, hệ thống phải khóa toàn bộ thông tin báo giá và không cho phép chỉnh sửa trực tiếp.</w:t>
      </w:r>
    </w:p>
    <w:p>
      <w:r>
        <w:rPr>
          <w:b/>
          <w:sz w:val="26"/>
        </w:rPr>
        <w:t>REQ-25 — Xuất báo giá PDF</w:t>
      </w:r>
    </w:p>
    <w:p>
      <w:pPr>
        <w:spacing w:after="80"/>
      </w:pPr>
      <w:r>
        <w:t>Priority: Could Have</w:t>
      </w:r>
    </w:p>
    <w:p>
      <w:pPr>
        <w:spacing w:after="80"/>
      </w:pPr>
    </w:p>
    <w:p>
      <w:pPr>
        <w:spacing w:after="80"/>
      </w:pPr>
      <w:r>
        <w:t>Hệ thống có thể cung cấp chức năng cho phép Nhân viên đặt tour và Điều phối viên RikkeiTravel xuất báo giá của đơn đặt tour thành file PDF.</w:t>
      </w:r>
    </w:p>
    <w:p>
      <w:pPr>
        <w:spacing w:after="80"/>
      </w:pPr>
    </w:p>
    <w:p>
      <w:pPr>
        <w:spacing w:after="80"/>
      </w:pPr>
      <w:r>
        <w:t>Tiêu chí kiểm chứng:</w:t>
      </w:r>
    </w:p>
    <w:p>
      <w:pPr>
        <w:spacing w:after="80"/>
      </w:pPr>
      <w:r>
        <w:t>1. Người dùng chọn chức năng “Xuất báo giá PDF”.</w:t>
      </w:r>
    </w:p>
    <w:p>
      <w:pPr>
        <w:spacing w:after="80"/>
      </w:pPr>
      <w:r>
        <w:t>2. Hệ thống tạo file PDF từ báo giá hiện tại.</w:t>
      </w:r>
    </w:p>
    <w:p>
      <w:pPr>
        <w:spacing w:after="80"/>
      </w:pPr>
      <w:r>
        <w:t>3. File PDF bao gồm tối thiểu: mã báo giá, thông tin khách hàng doanh nghiệp, thông tin tour, số lượng khách, chi phí từng hạng mục, tổng giá trị báo giá và ngày lập báo giá.</w:t>
      </w:r>
    </w:p>
    <w:p>
      <w:pPr>
        <w:spacing w:after="80"/>
      </w:pPr>
      <w:r>
        <w:t>4. Người dùng có thể tải file PDF về thiết bị.</w:t>
      </w:r>
    </w:p>
    <w:p>
      <w:pPr>
        <w:spacing w:after="80"/>
      </w:pPr>
    </w:p>
    <w:p>
      <w:pPr>
        <w:spacing w:after="80"/>
      </w:pPr>
      <w:r>
        <w:t>Mức ưu tiên Could Have: có thể triển khai sau nếu nguồn lực phát triển cho phép, nhưng yêu cầu đã được đặc tả rõ ràng.</w:t>
      </w:r>
    </w:p>
    <w:p>
      <w:r>
        <w:rPr>
          <w:b/>
          <w:sz w:val="26"/>
        </w:rPr>
        <w:t>3.3 Business Rules</w:t>
      </w:r>
    </w:p>
    <w:p>
      <w:pPr>
        <w:spacing w:after="80"/>
      </w:pPr>
      <w:r>
        <w:t>BR-01 — Điều kiện xác nhận đơn</w:t>
      </w:r>
    </w:p>
    <w:p>
      <w:pPr>
        <w:spacing w:after="80"/>
      </w:pPr>
      <w:r>
        <w:t>Đơn đặt tour chỉ được chuyển sang trạng thái “Đã xác nhận” khi hệ thống xác nhận khách hàng đã thanh toán đủ 100% giá trị cần thanh toán theo hợp đồng.</w:t>
      </w:r>
    </w:p>
    <w:p>
      <w:pPr>
        <w:spacing w:after="80"/>
      </w:pPr>
    </w:p>
    <w:p>
      <w:pPr>
        <w:spacing w:after="80"/>
      </w:pPr>
      <w:r>
        <w:t>BR-02 — Khóa báo giá</w:t>
      </w:r>
    </w:p>
    <w:p>
      <w:pPr>
        <w:spacing w:after="80"/>
      </w:pPr>
      <w:r>
        <w:t>Sau khi đơn được chuyển sang trạng thái “Đã xác nhận”, báo giá tương ứng phải được khóa và không được chỉnh sửa trực tiếp.</w:t>
      </w:r>
    </w:p>
    <w:p>
      <w:pPr>
        <w:spacing w:after="80"/>
      </w:pPr>
    </w:p>
    <w:p>
      <w:pPr>
        <w:spacing w:after="80"/>
      </w:pPr>
      <w:r>
        <w:t>BR-03 — Chỉnh sửa trước thanh toán</w:t>
      </w:r>
    </w:p>
    <w:p>
      <w:pPr>
        <w:spacing w:after="80"/>
      </w:pPr>
      <w:r>
        <w:t>Điều phối viên chỉ được chỉnh sửa báo giá khi khoản thanh toán 100% chưa được xác nhận.</w:t>
      </w:r>
    </w:p>
    <w:p>
      <w:pPr>
        <w:spacing w:after="80"/>
      </w:pPr>
    </w:p>
    <w:p>
      <w:pPr>
        <w:spacing w:after="80"/>
      </w:pPr>
      <w:r>
        <w:t>BR-04 — Thanh toán không đủ</w:t>
      </w:r>
    </w:p>
    <w:p>
      <w:pPr>
        <w:spacing w:after="80"/>
      </w:pPr>
      <w:r>
        <w:t>Nếu số tiền thanh toán chưa đạt 100%, hệ thống không được chuyển đơn sang trạng thái “Đã xác nhận”.</w:t>
      </w:r>
    </w:p>
    <w:p>
      <w:r>
        <w:rPr>
          <w:b/>
          <w:sz w:val="26"/>
        </w:rPr>
        <w:t>Kết luận sau phản biện</w:t>
      </w:r>
    </w:p>
    <w:p>
      <w:pPr>
        <w:spacing w:after="80"/>
      </w:pPr>
      <w:r>
        <w:t>Các lỗi chính tập trung vào 3 nhóm:</w:t>
      </w:r>
    </w:p>
    <w:p>
      <w:pPr>
        <w:spacing w:after="80"/>
      </w:pPr>
      <w:r>
        <w:t>1. Sai cấu trúc: Actor/Use Case bị đặt trong Constraints; ERD bị đặt trong Definitions.</w:t>
      </w:r>
    </w:p>
    <w:p>
      <w:pPr>
        <w:spacing w:after="80"/>
      </w:pPr>
      <w:r>
        <w:t>2. Lỗi chất lượng yêu cầu: “nhanh chóng”, “bất kỳ lúc nào”, “có thể cân nhắc” khiến yêu cầu khó kiểm thử hoặc mơ hồ.</w:t>
      </w:r>
    </w:p>
    <w:p>
      <w:pPr>
        <w:spacing w:after="80"/>
      </w:pPr>
      <w:r>
        <w:t>3. Lỗi nhất quán: REQ-23 và REQ-24 đưa ra hai quy tắc trái ngược về việc chỉnh sửa báo giá sau thanh toán.</w:t>
      </w:r>
    </w:p>
    <w:p>
      <w:pPr>
        <w:spacing w:after="80"/>
      </w:pPr>
    </w:p>
    <w:p>
      <w:pPr>
        <w:spacing w:after="80"/>
      </w:pPr>
      <w:r>
        <w:t>Bản chỉnh sửa đã đưa Actor/Use Case về phần mô tả hệ thống, chuyển ERD khỏi Definitions, biến REQ-21 thành yêu cầu đo được, thống nhất quy tắc khóa báo giá sau khi thanh toán đủ 100%, đồng thời gán Priority: Could Have cho REQ-25.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