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8C7" w:rsidRDefault="004B2A1B" w:rsidP="007162E9">
      <w:pPr>
        <w:jc w:val="center"/>
        <w:rPr>
          <w:rFonts w:cs="Times New Roman"/>
          <w:b/>
          <w:szCs w:val="24"/>
        </w:rPr>
      </w:pPr>
      <w:r w:rsidRPr="004B2A1B">
        <w:rPr>
          <w:rFonts w:cs="Times New Roman"/>
          <w:b/>
          <w:szCs w:val="24"/>
        </w:rPr>
        <w:t>LITERATURE REVIEW</w:t>
      </w:r>
    </w:p>
    <w:p w:rsidR="004B2A1B" w:rsidRDefault="004B2A1B" w:rsidP="0050439E">
      <w:pPr>
        <w:jc w:val="both"/>
        <w:rPr>
          <w:rFonts w:cs="Times New Roman"/>
          <w:b/>
          <w:szCs w:val="24"/>
        </w:rPr>
      </w:pPr>
    </w:p>
    <w:p w:rsidR="00425130" w:rsidRPr="004B2A1B" w:rsidRDefault="00425130" w:rsidP="0050439E">
      <w:pPr>
        <w:jc w:val="both"/>
        <w:rPr>
          <w:rFonts w:cs="Times New Roman"/>
          <w:b/>
          <w:szCs w:val="24"/>
        </w:rPr>
      </w:pPr>
    </w:p>
    <w:p w:rsidR="004B2A1B" w:rsidRPr="00FE708E" w:rsidRDefault="004B2A1B" w:rsidP="0050439E">
      <w:pPr>
        <w:jc w:val="both"/>
        <w:rPr>
          <w:rFonts w:cs="Times New Roman"/>
          <w:b/>
          <w:szCs w:val="24"/>
        </w:rPr>
      </w:pPr>
      <w:r w:rsidRPr="00FE708E">
        <w:rPr>
          <w:rFonts w:cs="Times New Roman"/>
          <w:b/>
          <w:szCs w:val="24"/>
        </w:rPr>
        <w:t>Information Delivery Manual (IDM)</w:t>
      </w:r>
    </w:p>
    <w:p w:rsidR="006F6B05" w:rsidRDefault="006F6B05" w:rsidP="0050439E">
      <w:pPr>
        <w:jc w:val="both"/>
        <w:rPr>
          <w:rFonts w:cs="Times New Roman"/>
          <w:i/>
          <w:szCs w:val="24"/>
        </w:rPr>
      </w:pPr>
      <w:r>
        <w:rPr>
          <w:rFonts w:cs="Times New Roman"/>
          <w:i/>
          <w:szCs w:val="24"/>
        </w:rPr>
        <w:t>Business use case</w:t>
      </w:r>
    </w:p>
    <w:p w:rsidR="006F6B05" w:rsidRPr="003C2F06" w:rsidRDefault="006F6B05" w:rsidP="0050439E">
      <w:pPr>
        <w:jc w:val="both"/>
      </w:pPr>
      <w:r>
        <w:rPr>
          <w:rFonts w:cs="Times New Roman"/>
          <w:szCs w:val="24"/>
        </w:rPr>
        <w:t xml:space="preserve">A </w:t>
      </w:r>
      <w:r>
        <w:rPr>
          <w:rFonts w:cs="Times New Roman"/>
          <w:i/>
          <w:szCs w:val="24"/>
        </w:rPr>
        <w:t>use case</w:t>
      </w:r>
      <w:r>
        <w:t xml:space="preserve"> is defined as a scenario within the life cycle of project in which data exchange is required </w:t>
      </w:r>
      <w:r w:rsidR="00EE7E1F">
        <w:t xml:space="preserve">to enable relevant </w:t>
      </w:r>
      <w:r>
        <w:t>stakeholders</w:t>
      </w:r>
      <w:r w:rsidR="00EE7E1F">
        <w:t xml:space="preserve"> to be able finish their jobs</w:t>
      </w:r>
      <w:r w:rsidR="003849F8">
        <w:t xml:space="preserve"> </w:t>
      </w:r>
      <w:r w:rsidR="003849F8">
        <w:fldChar w:fldCharType="begin"/>
      </w:r>
      <w:r w:rsidR="003849F8">
        <w:instrText xml:space="preserve"> ADDIN EN.CITE &lt;EndNote&gt;&lt;Cite&gt;&lt;Author&gt;Eastman&lt;/Author&gt;&lt;Year&gt;2009&lt;/Year&gt;&lt;RecNum&gt;600&lt;/RecNum&gt;&lt;DisplayText&gt;(C. Eastman et al., 2009)&lt;/DisplayText&gt;&lt;record&gt;&lt;rec-number&gt;600&lt;/rec-number&gt;&lt;foreign-keys&gt;&lt;key app="EN" db-id="wx22awww1fsvziezd5b5xdxopvts0v0fe0zp"&gt;600&lt;/key&gt;&lt;/foreign-keys&gt;&lt;ref-type name="Journal Article"&gt;17&lt;/ref-type&gt;&lt;contributors&gt;&lt;authors&gt;&lt;author&gt;Eastman, C.&lt;/author&gt;&lt;author&gt;Jeong, Y.&lt;/author&gt;&lt;author&gt;Sacks, R.&lt;/author&gt;&lt;author&gt;Kaner, I.&lt;/author&gt;&lt;/authors&gt;&lt;/contributors&gt;&lt;titles&gt;&lt;title&gt;Exchange Model and Exchange Object Concepts for Implementation of National BIM Standards&lt;/title&gt;&lt;secondary-title&gt;Journal of Computing in Civil Engineering&lt;/secondary-title&gt;&lt;/titles&gt;&lt;periodical&gt;&lt;full-title&gt;Journal of Computing in Civil Engineering&lt;/full-title&gt;&lt;/periodical&gt;&lt;pages&gt;25-34&lt;/pages&gt;&lt;volume&gt;24&lt;/volume&gt;&lt;number&gt;1&lt;/number&gt;&lt;keywords&gt;&lt;keyword&gt;Model view definition&lt;/keyword&gt;&lt;/keywords&gt;&lt;dates&gt;&lt;year&gt;2009&lt;/year&gt;&lt;pub-dates&gt;&lt;date&gt;2010/01/01&lt;/date&gt;&lt;/pub-dates&gt;&lt;/dates&gt;&lt;publisher&gt;American Society of Civil Engineers&lt;/publisher&gt;&lt;isbn&gt;0887-3801&lt;/isbn&gt;&lt;urls&gt;&lt;related-urls&gt;&lt;url&gt;http://dx.doi.org/10.1061/(ASCE)0887-3801(2010)24:1(25)&lt;/url&gt;&lt;/related-urls&gt;&lt;/urls&gt;&lt;electronic-resource-num&gt;10.1061/(ASCE)0887-3801(2010)24:1(25)&lt;/electronic-resource-num&gt;&lt;research-notes&gt;idm method&lt;/research-notes&gt;&lt;access-date&gt;2014/11/11&lt;/access-date&gt;&lt;/record&gt;&lt;/Cite&gt;&lt;/EndNote&gt;</w:instrText>
      </w:r>
      <w:r w:rsidR="003849F8">
        <w:fldChar w:fldCharType="separate"/>
      </w:r>
      <w:r w:rsidR="003849F8">
        <w:rPr>
          <w:noProof/>
        </w:rPr>
        <w:t>(</w:t>
      </w:r>
      <w:hyperlink w:anchor="_ENREF_1" w:tooltip="Eastman, 2009 #600" w:history="1">
        <w:r w:rsidR="003849F8">
          <w:rPr>
            <w:noProof/>
          </w:rPr>
          <w:t>C. Eastman et al., 2009</w:t>
        </w:r>
      </w:hyperlink>
      <w:r w:rsidR="003849F8">
        <w:rPr>
          <w:noProof/>
        </w:rPr>
        <w:t>)</w:t>
      </w:r>
      <w:r w:rsidR="003849F8">
        <w:fldChar w:fldCharType="end"/>
      </w:r>
      <w:r>
        <w:t>.</w:t>
      </w:r>
      <w:r w:rsidR="00CA5C51">
        <w:t xml:space="preserve"> The key elements of a use case are: tasks to be completed, actors (project stakeholders), and data exchange requirements</w:t>
      </w:r>
      <w:r w:rsidR="00D32D26">
        <w:t xml:space="preserve"> which specify what data to be transferred to enable the completion of the work</w:t>
      </w:r>
      <w:r w:rsidR="008F0D37">
        <w:t>s</w:t>
      </w:r>
      <w:r w:rsidR="00CA5C51">
        <w:t>.</w:t>
      </w:r>
      <w:r>
        <w:t xml:space="preserve"> Some examples of use cases are </w:t>
      </w:r>
      <w:r>
        <w:rPr>
          <w:i/>
        </w:rPr>
        <w:t>“the data exchange between architects, structural engineers and HVAC engineers to develop an as-designed model”</w:t>
      </w:r>
      <w:r>
        <w:t>, “</w:t>
      </w:r>
      <w:r>
        <w:rPr>
          <w:i/>
        </w:rPr>
        <w:t xml:space="preserve">the data exchange between engineers and cost estimators to </w:t>
      </w:r>
      <w:r w:rsidR="00EE7E1F">
        <w:rPr>
          <w:i/>
        </w:rPr>
        <w:t xml:space="preserve">support </w:t>
      </w:r>
      <w:r w:rsidR="003C2F06" w:rsidRPr="003C2F06">
        <w:rPr>
          <w:i/>
        </w:rPr>
        <w:t>quantity take-off and cost estimation</w:t>
      </w:r>
      <w:r w:rsidR="003C2F06">
        <w:rPr>
          <w:i/>
        </w:rPr>
        <w:t>”</w:t>
      </w:r>
      <w:r w:rsidR="003C2F06">
        <w:t xml:space="preserve">, or </w:t>
      </w:r>
      <w:r w:rsidR="003C2F06">
        <w:rPr>
          <w:i/>
        </w:rPr>
        <w:t xml:space="preserve">“the sharing of the design models to the energy analysis process”. </w:t>
      </w:r>
      <w:r w:rsidR="003C2F06">
        <w:t>The identification of business use cases is the first step in developing the IDMs for a given type of asset.</w:t>
      </w:r>
      <w:r w:rsidR="003D5F4C">
        <w:t xml:space="preserve"> For each of the identified use cases, an IDM is needed. Since a construction project involves an extensive number of phases and processes, business use cases are usually prioritized and the top ones will be </w:t>
      </w:r>
      <w:r w:rsidR="000F321C">
        <w:t xml:space="preserve">developed first. </w:t>
      </w:r>
    </w:p>
    <w:p w:rsidR="006F6B05" w:rsidRPr="006F6B05" w:rsidRDefault="006F6B05" w:rsidP="0050439E">
      <w:pPr>
        <w:jc w:val="both"/>
        <w:rPr>
          <w:rFonts w:cs="Times New Roman"/>
          <w:szCs w:val="24"/>
        </w:rPr>
      </w:pPr>
    </w:p>
    <w:p w:rsidR="004B2A1B" w:rsidRPr="000B4EB3" w:rsidRDefault="000B4EB3" w:rsidP="0050439E">
      <w:pPr>
        <w:jc w:val="both"/>
        <w:rPr>
          <w:rFonts w:cs="Times New Roman"/>
          <w:i/>
          <w:szCs w:val="24"/>
        </w:rPr>
      </w:pPr>
      <w:r w:rsidRPr="000B4EB3">
        <w:rPr>
          <w:rFonts w:cs="Times New Roman"/>
          <w:i/>
          <w:szCs w:val="24"/>
        </w:rPr>
        <w:t>What is IDM?</w:t>
      </w:r>
    </w:p>
    <w:p w:rsidR="000B4EB3" w:rsidRDefault="00C9305B" w:rsidP="0050439E">
      <w:pPr>
        <w:jc w:val="both"/>
        <w:rPr>
          <w:rFonts w:cs="Times New Roman"/>
          <w:szCs w:val="24"/>
        </w:rPr>
      </w:pPr>
      <w:r>
        <w:rPr>
          <w:rFonts w:cs="Times New Roman"/>
          <w:szCs w:val="24"/>
        </w:rPr>
        <w:t xml:space="preserve">IDM </w:t>
      </w:r>
      <w:r w:rsidR="009717EC">
        <w:rPr>
          <w:rFonts w:cs="Times New Roman"/>
          <w:szCs w:val="24"/>
        </w:rPr>
        <w:t xml:space="preserve">aims to </w:t>
      </w:r>
      <w:r w:rsidR="00064094">
        <w:rPr>
          <w:rFonts w:cs="Times New Roman"/>
          <w:szCs w:val="24"/>
        </w:rPr>
        <w:t xml:space="preserve">capture the industry knowledge and experience </w:t>
      </w:r>
      <w:r w:rsidR="00C4387C">
        <w:rPr>
          <w:rFonts w:cs="Times New Roman"/>
          <w:szCs w:val="24"/>
        </w:rPr>
        <w:t>about</w:t>
      </w:r>
      <w:r w:rsidR="009717EC">
        <w:rPr>
          <w:rFonts w:cs="Times New Roman"/>
          <w:szCs w:val="24"/>
        </w:rPr>
        <w:t xml:space="preserve"> the </w:t>
      </w:r>
      <w:r w:rsidR="00064094">
        <w:rPr>
          <w:rFonts w:cs="Times New Roman"/>
          <w:szCs w:val="24"/>
        </w:rPr>
        <w:t>workflow and information sharing flow of a business use case within the life cycle of a building project. IDM</w:t>
      </w:r>
      <w:r w:rsidR="009717EC">
        <w:rPr>
          <w:rFonts w:cs="Times New Roman"/>
          <w:szCs w:val="24"/>
        </w:rPr>
        <w:t xml:space="preserve"> identifies </w:t>
      </w:r>
      <w:r w:rsidR="00C5489A">
        <w:rPr>
          <w:rFonts w:cs="Times New Roman"/>
          <w:szCs w:val="24"/>
        </w:rPr>
        <w:t>which and when data and information is needed to be transferred</w:t>
      </w:r>
      <w:r w:rsidR="001C3BC1">
        <w:rPr>
          <w:rFonts w:cs="Times New Roman"/>
          <w:szCs w:val="24"/>
        </w:rPr>
        <w:t xml:space="preserve"> </w:t>
      </w:r>
      <w:r w:rsidR="00064094">
        <w:rPr>
          <w:rFonts w:cs="Times New Roman"/>
          <w:szCs w:val="24"/>
        </w:rPr>
        <w:t>from one stakeholder to another</w:t>
      </w:r>
      <w:r w:rsidR="00C5489A">
        <w:rPr>
          <w:rFonts w:cs="Times New Roman"/>
          <w:szCs w:val="24"/>
        </w:rPr>
        <w:t xml:space="preserve">. </w:t>
      </w:r>
      <w:r w:rsidR="007A13B6">
        <w:rPr>
          <w:rFonts w:cs="Times New Roman"/>
          <w:szCs w:val="24"/>
        </w:rPr>
        <w:t>Specifically, the major goals of the IDM are to:</w:t>
      </w:r>
    </w:p>
    <w:p w:rsidR="007A13B6" w:rsidRDefault="007A13B6" w:rsidP="007A13B6">
      <w:pPr>
        <w:pStyle w:val="ListParagraph"/>
        <w:numPr>
          <w:ilvl w:val="0"/>
          <w:numId w:val="3"/>
        </w:numPr>
        <w:jc w:val="both"/>
        <w:rPr>
          <w:rFonts w:cs="Times New Roman"/>
          <w:szCs w:val="24"/>
        </w:rPr>
      </w:pPr>
      <w:r>
        <w:rPr>
          <w:rFonts w:cs="Times New Roman"/>
          <w:szCs w:val="24"/>
        </w:rPr>
        <w:t>Identify and describe the processes in which data sharing is required;</w:t>
      </w:r>
    </w:p>
    <w:p w:rsidR="007A13B6" w:rsidRDefault="007A13B6" w:rsidP="007A13B6">
      <w:pPr>
        <w:pStyle w:val="ListParagraph"/>
        <w:numPr>
          <w:ilvl w:val="0"/>
          <w:numId w:val="3"/>
        </w:numPr>
        <w:jc w:val="both"/>
        <w:rPr>
          <w:rFonts w:cs="Times New Roman"/>
          <w:szCs w:val="24"/>
        </w:rPr>
      </w:pPr>
      <w:r>
        <w:rPr>
          <w:rFonts w:cs="Times New Roman"/>
          <w:szCs w:val="24"/>
        </w:rPr>
        <w:t xml:space="preserve">Identify the data </w:t>
      </w:r>
      <w:r w:rsidR="00AE78C8">
        <w:rPr>
          <w:rFonts w:cs="Times New Roman"/>
          <w:szCs w:val="24"/>
        </w:rPr>
        <w:t>producer</w:t>
      </w:r>
      <w:bookmarkStart w:id="0" w:name="_GoBack"/>
      <w:bookmarkEnd w:id="0"/>
      <w:r>
        <w:rPr>
          <w:rFonts w:cs="Times New Roman"/>
          <w:szCs w:val="24"/>
        </w:rPr>
        <w:t xml:space="preserve"> and receiver for each </w:t>
      </w:r>
      <w:r w:rsidR="004E15F3">
        <w:rPr>
          <w:rFonts w:cs="Times New Roman"/>
          <w:szCs w:val="24"/>
        </w:rPr>
        <w:t>data sharing scenario</w:t>
      </w:r>
      <w:r>
        <w:rPr>
          <w:rFonts w:cs="Times New Roman"/>
          <w:szCs w:val="24"/>
        </w:rPr>
        <w:t>;</w:t>
      </w:r>
    </w:p>
    <w:p w:rsidR="007A13B6" w:rsidRDefault="007A13B6" w:rsidP="007A13B6">
      <w:pPr>
        <w:pStyle w:val="ListParagraph"/>
        <w:numPr>
          <w:ilvl w:val="0"/>
          <w:numId w:val="3"/>
        </w:numPr>
        <w:jc w:val="both"/>
        <w:rPr>
          <w:rFonts w:cs="Times New Roman"/>
          <w:szCs w:val="24"/>
        </w:rPr>
      </w:pPr>
      <w:r>
        <w:rPr>
          <w:rFonts w:cs="Times New Roman"/>
          <w:szCs w:val="24"/>
        </w:rPr>
        <w:t>Document the specific data requirement</w:t>
      </w:r>
      <w:r w:rsidR="004E15F3">
        <w:rPr>
          <w:rFonts w:cs="Times New Roman"/>
          <w:szCs w:val="24"/>
        </w:rPr>
        <w:t>s</w:t>
      </w:r>
      <w:r>
        <w:rPr>
          <w:rFonts w:cs="Times New Roman"/>
          <w:szCs w:val="24"/>
        </w:rPr>
        <w:t xml:space="preserve"> for a data sharing scenario.</w:t>
      </w:r>
    </w:p>
    <w:p w:rsidR="00FB3AA0" w:rsidRDefault="00FB3AA0" w:rsidP="00FB3AA0">
      <w:pPr>
        <w:jc w:val="both"/>
        <w:rPr>
          <w:rFonts w:cs="Times New Roman"/>
          <w:szCs w:val="24"/>
        </w:rPr>
      </w:pPr>
    </w:p>
    <w:p w:rsidR="00FB3AA0" w:rsidRDefault="008B4B3B" w:rsidP="00FB3AA0">
      <w:pPr>
        <w:jc w:val="both"/>
        <w:rPr>
          <w:rFonts w:cs="Times New Roman"/>
          <w:szCs w:val="24"/>
        </w:rPr>
      </w:pPr>
      <w:r>
        <w:rPr>
          <w:rFonts w:cs="Times New Roman"/>
          <w:szCs w:val="24"/>
        </w:rPr>
        <w:t>The</w:t>
      </w:r>
      <w:r w:rsidR="00FB3AA0">
        <w:rPr>
          <w:rFonts w:cs="Times New Roman"/>
          <w:szCs w:val="24"/>
        </w:rPr>
        <w:t xml:space="preserve"> core components of an IDM include: </w:t>
      </w:r>
    </w:p>
    <w:p w:rsidR="00FB3AA0" w:rsidRDefault="00E878A4" w:rsidP="00FB3AA0">
      <w:pPr>
        <w:pStyle w:val="ListParagraph"/>
        <w:numPr>
          <w:ilvl w:val="0"/>
          <w:numId w:val="4"/>
        </w:numPr>
        <w:jc w:val="both"/>
        <w:rPr>
          <w:rFonts w:cs="Times New Roman"/>
          <w:szCs w:val="24"/>
        </w:rPr>
      </w:pPr>
      <w:r>
        <w:rPr>
          <w:rFonts w:cs="Times New Roman"/>
          <w:szCs w:val="24"/>
        </w:rPr>
        <w:t xml:space="preserve">A </w:t>
      </w:r>
      <w:r w:rsidR="005935F1">
        <w:rPr>
          <w:rFonts w:cs="Times New Roman"/>
          <w:szCs w:val="24"/>
        </w:rPr>
        <w:t>p</w:t>
      </w:r>
      <w:r w:rsidR="00FB3AA0">
        <w:rPr>
          <w:rFonts w:cs="Times New Roman"/>
          <w:szCs w:val="24"/>
        </w:rPr>
        <w:t>rocess map</w:t>
      </w:r>
      <w:r w:rsidR="00466DFC">
        <w:rPr>
          <w:rFonts w:cs="Times New Roman"/>
          <w:szCs w:val="24"/>
        </w:rPr>
        <w:t xml:space="preserve"> which explains the sequence</w:t>
      </w:r>
      <w:r w:rsidR="00294F35">
        <w:rPr>
          <w:rFonts w:cs="Times New Roman"/>
          <w:szCs w:val="24"/>
        </w:rPr>
        <w:t xml:space="preserve"> of activities to be completed and the actors (stakeholders) involve</w:t>
      </w:r>
      <w:r w:rsidR="00466DFC">
        <w:rPr>
          <w:rFonts w:cs="Times New Roman"/>
          <w:szCs w:val="24"/>
        </w:rPr>
        <w:t>d</w:t>
      </w:r>
      <w:r w:rsidR="00294F35">
        <w:rPr>
          <w:rFonts w:cs="Times New Roman"/>
          <w:szCs w:val="24"/>
        </w:rPr>
        <w:t xml:space="preserve"> in the </w:t>
      </w:r>
      <w:r w:rsidR="005D1C9D">
        <w:rPr>
          <w:rFonts w:cs="Times New Roman"/>
          <w:szCs w:val="24"/>
        </w:rPr>
        <w:t>process</w:t>
      </w:r>
      <w:r w:rsidR="00294F35">
        <w:rPr>
          <w:rFonts w:cs="Times New Roman"/>
          <w:szCs w:val="24"/>
        </w:rPr>
        <w:t>;</w:t>
      </w:r>
      <w:r w:rsidR="009A5C67">
        <w:rPr>
          <w:rFonts w:cs="Times New Roman"/>
          <w:szCs w:val="24"/>
        </w:rPr>
        <w:t xml:space="preserve"> and</w:t>
      </w:r>
    </w:p>
    <w:p w:rsidR="00FB3AA0" w:rsidRPr="00FB3AA0" w:rsidRDefault="00FB3AA0" w:rsidP="00FB3AA0">
      <w:pPr>
        <w:pStyle w:val="ListParagraph"/>
        <w:numPr>
          <w:ilvl w:val="0"/>
          <w:numId w:val="4"/>
        </w:numPr>
        <w:jc w:val="both"/>
        <w:rPr>
          <w:rFonts w:cs="Times New Roman"/>
          <w:szCs w:val="24"/>
        </w:rPr>
      </w:pPr>
      <w:r>
        <w:rPr>
          <w:rFonts w:cs="Times New Roman"/>
          <w:szCs w:val="24"/>
        </w:rPr>
        <w:t>Exchange requirement</w:t>
      </w:r>
      <w:r w:rsidR="00E878A4">
        <w:rPr>
          <w:rFonts w:cs="Times New Roman"/>
          <w:szCs w:val="24"/>
        </w:rPr>
        <w:t>s</w:t>
      </w:r>
      <w:r>
        <w:rPr>
          <w:rFonts w:cs="Times New Roman"/>
          <w:szCs w:val="24"/>
        </w:rPr>
        <w:t xml:space="preserve"> (ER)</w:t>
      </w:r>
      <w:r w:rsidR="00954B73">
        <w:rPr>
          <w:rFonts w:cs="Times New Roman"/>
          <w:szCs w:val="24"/>
        </w:rPr>
        <w:t xml:space="preserve"> which specify</w:t>
      </w:r>
      <w:r w:rsidR="00294F35">
        <w:rPr>
          <w:rFonts w:cs="Times New Roman"/>
          <w:szCs w:val="24"/>
        </w:rPr>
        <w:t xml:space="preserve"> what data entities/attributes to be transferred to whom</w:t>
      </w:r>
      <w:r w:rsidR="00954B73">
        <w:rPr>
          <w:rFonts w:cs="Times New Roman"/>
          <w:szCs w:val="24"/>
        </w:rPr>
        <w:t xml:space="preserve"> and</w:t>
      </w:r>
      <w:r w:rsidR="00294F35">
        <w:rPr>
          <w:rFonts w:cs="Times New Roman"/>
          <w:szCs w:val="24"/>
        </w:rPr>
        <w:t xml:space="preserve"> by whom.</w:t>
      </w:r>
    </w:p>
    <w:p w:rsidR="000B4EB3" w:rsidRDefault="000B4EB3" w:rsidP="0050439E">
      <w:pPr>
        <w:jc w:val="both"/>
        <w:rPr>
          <w:rFonts w:cs="Times New Roman"/>
          <w:szCs w:val="24"/>
        </w:rPr>
      </w:pPr>
    </w:p>
    <w:p w:rsidR="000B4EB3" w:rsidRPr="000B4EB3" w:rsidRDefault="000B4EB3" w:rsidP="0050439E">
      <w:pPr>
        <w:jc w:val="both"/>
        <w:rPr>
          <w:rFonts w:cs="Times New Roman"/>
          <w:i/>
          <w:szCs w:val="24"/>
        </w:rPr>
      </w:pPr>
      <w:r w:rsidRPr="000B4EB3">
        <w:rPr>
          <w:rFonts w:cs="Times New Roman"/>
          <w:i/>
          <w:szCs w:val="24"/>
        </w:rPr>
        <w:t>IDM development method</w:t>
      </w:r>
      <w:r w:rsidR="00802C98">
        <w:rPr>
          <w:rFonts w:cs="Times New Roman"/>
          <w:i/>
          <w:szCs w:val="24"/>
        </w:rPr>
        <w:t>ology</w:t>
      </w:r>
    </w:p>
    <w:p w:rsidR="000B4EB3" w:rsidRDefault="003F7BB7" w:rsidP="0050439E">
      <w:pPr>
        <w:jc w:val="both"/>
        <w:rPr>
          <w:rFonts w:cs="Times New Roman"/>
          <w:szCs w:val="24"/>
        </w:rPr>
      </w:pPr>
      <w:r>
        <w:rPr>
          <w:rFonts w:cs="Times New Roman"/>
          <w:szCs w:val="24"/>
        </w:rPr>
        <w:t>In order to support the formal documentation of IDMs, buildingSMART develop</w:t>
      </w:r>
      <w:r w:rsidR="00887C01">
        <w:rPr>
          <w:rFonts w:cs="Times New Roman"/>
          <w:szCs w:val="24"/>
        </w:rPr>
        <w:t>s</w:t>
      </w:r>
      <w:r>
        <w:rPr>
          <w:rFonts w:cs="Times New Roman"/>
          <w:szCs w:val="24"/>
        </w:rPr>
        <w:t xml:space="preserve"> a guide on IDM development methodology which has become the </w:t>
      </w:r>
      <w:r w:rsidR="00802C98">
        <w:rPr>
          <w:rFonts w:cs="Times New Roman"/>
          <w:szCs w:val="24"/>
        </w:rPr>
        <w:t xml:space="preserve">ISO </w:t>
      </w:r>
      <w:r>
        <w:rPr>
          <w:rFonts w:cs="Times New Roman"/>
          <w:szCs w:val="24"/>
        </w:rPr>
        <w:t>29481-1:2010</w:t>
      </w:r>
      <w:r w:rsidR="002F5C67">
        <w:rPr>
          <w:rFonts w:cs="Times New Roman"/>
          <w:szCs w:val="24"/>
        </w:rPr>
        <w:t xml:space="preserve"> standard</w:t>
      </w:r>
      <w:r w:rsidR="001648EE">
        <w:rPr>
          <w:rFonts w:cs="Times New Roman"/>
          <w:szCs w:val="24"/>
        </w:rPr>
        <w:t xml:space="preserve"> and a part of the National BIM standard</w:t>
      </w:r>
      <w:r w:rsidR="00202DF9">
        <w:rPr>
          <w:rFonts w:cs="Times New Roman"/>
          <w:szCs w:val="24"/>
        </w:rPr>
        <w:t xml:space="preserve"> </w:t>
      </w:r>
      <w:r w:rsidR="00202DF9">
        <w:rPr>
          <w:rFonts w:cs="Times New Roman"/>
          <w:szCs w:val="24"/>
        </w:rPr>
        <w:fldChar w:fldCharType="begin"/>
      </w:r>
      <w:r w:rsidR="00160AF9">
        <w:rPr>
          <w:rFonts w:cs="Times New Roman"/>
          <w:szCs w:val="24"/>
        </w:rPr>
        <w:instrText xml:space="preserve"> ADDIN EN.CITE &lt;EndNote&gt;&lt;Cite&gt;&lt;Author&gt;National Institute of Building Sciences&lt;/Author&gt;&lt;Year&gt;2007&lt;/Year&gt;&lt;RecNum&gt;1569&lt;/RecNum&gt;&lt;DisplayText&gt;(National Institute of Building Sciences, 2007)&lt;/DisplayText&gt;&lt;record&gt;&lt;rec-number&gt;1569&lt;/rec-number&gt;&lt;foreign-keys&gt;&lt;key app="EN" db-id="wx22awww1fsvziezd5b5xdxopvts0v0fe0zp"&gt;1569&lt;/key&gt;&lt;/foreign-keys&gt;&lt;ref-type name="Report"&gt;27&lt;/ref-type&gt;&lt;contributors&gt;&lt;authors&gt;&lt;author&gt;National Institute of Building Sciences,&lt;/author&gt;&lt;/authors&gt;&lt;/contributors&gt;&lt;titles&gt;&lt;title&gt;United States National Builing Information Modeling Standard- Version 1 - Part 1: Overview, Principles, and Methodologies&lt;/title&gt;&lt;/titles&gt;&lt;dates&gt;&lt;year&gt;2007&lt;/year&gt;&lt;/dates&gt;&lt;urls&gt;&lt;/urls&gt;&lt;research-notes&gt;idm method at chap 5&lt;/research-notes&gt;&lt;/record&gt;&lt;/Cite&gt;&lt;/EndNote&gt;</w:instrText>
      </w:r>
      <w:r w:rsidR="00202DF9">
        <w:rPr>
          <w:rFonts w:cs="Times New Roman"/>
          <w:szCs w:val="24"/>
        </w:rPr>
        <w:fldChar w:fldCharType="separate"/>
      </w:r>
      <w:r w:rsidR="00160AF9">
        <w:rPr>
          <w:rFonts w:cs="Times New Roman"/>
          <w:noProof/>
          <w:szCs w:val="24"/>
        </w:rPr>
        <w:t>(</w:t>
      </w:r>
      <w:hyperlink w:anchor="_ENREF_3" w:tooltip="National Institute of Building Sciences, 2007 #1569" w:history="1">
        <w:r w:rsidR="003849F8">
          <w:rPr>
            <w:rFonts w:cs="Times New Roman"/>
            <w:noProof/>
            <w:szCs w:val="24"/>
          </w:rPr>
          <w:t>National Institute of Building Sciences, 2007</w:t>
        </w:r>
      </w:hyperlink>
      <w:r w:rsidR="00160AF9">
        <w:rPr>
          <w:rFonts w:cs="Times New Roman"/>
          <w:noProof/>
          <w:szCs w:val="24"/>
        </w:rPr>
        <w:t>)</w:t>
      </w:r>
      <w:r w:rsidR="00202DF9">
        <w:rPr>
          <w:rFonts w:cs="Times New Roman"/>
          <w:szCs w:val="24"/>
        </w:rPr>
        <w:fldChar w:fldCharType="end"/>
      </w:r>
      <w:r>
        <w:rPr>
          <w:rFonts w:cs="Times New Roman"/>
          <w:szCs w:val="24"/>
        </w:rPr>
        <w:t>.</w:t>
      </w:r>
      <w:r w:rsidR="000507B6">
        <w:rPr>
          <w:rFonts w:cs="Times New Roman"/>
          <w:szCs w:val="24"/>
        </w:rPr>
        <w:t xml:space="preserve"> Specifically, developing an IDM consists of the following </w:t>
      </w:r>
      <w:r w:rsidR="0080588D">
        <w:rPr>
          <w:rFonts w:cs="Times New Roman"/>
          <w:szCs w:val="24"/>
        </w:rPr>
        <w:t xml:space="preserve">major </w:t>
      </w:r>
      <w:r w:rsidR="000507B6">
        <w:rPr>
          <w:rFonts w:cs="Times New Roman"/>
          <w:szCs w:val="24"/>
        </w:rPr>
        <w:t>stages.</w:t>
      </w:r>
    </w:p>
    <w:p w:rsidR="000507B6" w:rsidRDefault="00CF6AEA" w:rsidP="0050439E">
      <w:pPr>
        <w:pStyle w:val="ListParagraph"/>
        <w:numPr>
          <w:ilvl w:val="0"/>
          <w:numId w:val="2"/>
        </w:numPr>
        <w:ind w:left="540" w:firstLine="0"/>
        <w:jc w:val="both"/>
        <w:rPr>
          <w:rFonts w:cs="Times New Roman"/>
          <w:szCs w:val="24"/>
        </w:rPr>
      </w:pPr>
      <w:r w:rsidRPr="00076AC0">
        <w:rPr>
          <w:rFonts w:cs="Times New Roman"/>
          <w:szCs w:val="24"/>
          <w:u w:val="single"/>
        </w:rPr>
        <w:t>Define the scope of the IDM</w:t>
      </w:r>
      <w:r w:rsidR="004C4194">
        <w:rPr>
          <w:rFonts w:cs="Times New Roman"/>
          <w:szCs w:val="24"/>
        </w:rPr>
        <w:t xml:space="preserve"> </w:t>
      </w:r>
      <w:r w:rsidR="00C02373">
        <w:rPr>
          <w:rFonts w:cs="Times New Roman"/>
          <w:szCs w:val="24"/>
        </w:rPr>
        <w:t>which</w:t>
      </w:r>
      <w:r>
        <w:rPr>
          <w:rFonts w:cs="Times New Roman"/>
          <w:szCs w:val="24"/>
        </w:rPr>
        <w:t xml:space="preserve"> clearly describes what specific </w:t>
      </w:r>
      <w:r w:rsidR="00F50591">
        <w:rPr>
          <w:rFonts w:cs="Times New Roman"/>
          <w:szCs w:val="24"/>
        </w:rPr>
        <w:t>use case</w:t>
      </w:r>
      <w:r>
        <w:rPr>
          <w:rFonts w:cs="Times New Roman"/>
          <w:szCs w:val="24"/>
        </w:rPr>
        <w:t xml:space="preserve"> in the life cycle of a project (e.g., creating design models, project handover, etc.) to be investigated.</w:t>
      </w:r>
      <w:r w:rsidR="00473594">
        <w:rPr>
          <w:rFonts w:cs="Times New Roman"/>
          <w:szCs w:val="24"/>
        </w:rPr>
        <w:t xml:space="preserve"> The project life-cycle involves a huge number of business processes from the programming to demolishing phases, the most prioritized IDM</w:t>
      </w:r>
      <w:r w:rsidR="00B047D0">
        <w:rPr>
          <w:rFonts w:cs="Times New Roman"/>
          <w:szCs w:val="24"/>
        </w:rPr>
        <w:t>s</w:t>
      </w:r>
      <w:r w:rsidR="00473594">
        <w:rPr>
          <w:rFonts w:cs="Times New Roman"/>
          <w:szCs w:val="24"/>
        </w:rPr>
        <w:t xml:space="preserve"> will be identified and developed first.</w:t>
      </w:r>
    </w:p>
    <w:p w:rsidR="003C51AE" w:rsidRDefault="00C5489A" w:rsidP="0050439E">
      <w:pPr>
        <w:pStyle w:val="ListParagraph"/>
        <w:numPr>
          <w:ilvl w:val="0"/>
          <w:numId w:val="2"/>
        </w:numPr>
        <w:ind w:left="540" w:firstLine="0"/>
        <w:jc w:val="both"/>
        <w:rPr>
          <w:rFonts w:cs="Times New Roman"/>
          <w:szCs w:val="24"/>
        </w:rPr>
      </w:pPr>
      <w:r w:rsidRPr="003A1E0C">
        <w:rPr>
          <w:rFonts w:cs="Times New Roman"/>
          <w:szCs w:val="24"/>
          <w:u w:val="single"/>
        </w:rPr>
        <w:t>For</w:t>
      </w:r>
      <w:r w:rsidR="00C02373" w:rsidRPr="003A1E0C">
        <w:rPr>
          <w:rFonts w:cs="Times New Roman"/>
          <w:szCs w:val="24"/>
          <w:u w:val="single"/>
        </w:rPr>
        <w:t>m a workgroup</w:t>
      </w:r>
      <w:r w:rsidR="00B57EAE">
        <w:rPr>
          <w:rFonts w:cs="Times New Roman"/>
          <w:szCs w:val="24"/>
        </w:rPr>
        <w:t xml:space="preserve"> with the involvement of appropriate industry professionals who have background and experience relevant to the scope of the IDM.</w:t>
      </w:r>
      <w:r w:rsidR="00EA41C3">
        <w:rPr>
          <w:rFonts w:cs="Times New Roman"/>
          <w:szCs w:val="24"/>
        </w:rPr>
        <w:t xml:space="preserve"> The members in the workgroup will discuss to identify what </w:t>
      </w:r>
      <w:r w:rsidR="003C51AE">
        <w:rPr>
          <w:rFonts w:cs="Times New Roman"/>
          <w:szCs w:val="24"/>
        </w:rPr>
        <w:t xml:space="preserve">activities, </w:t>
      </w:r>
      <w:r w:rsidR="00B047D0">
        <w:rPr>
          <w:rFonts w:cs="Times New Roman"/>
          <w:szCs w:val="24"/>
        </w:rPr>
        <w:t>actors</w:t>
      </w:r>
      <w:r w:rsidR="003C51AE">
        <w:rPr>
          <w:rFonts w:cs="Times New Roman"/>
          <w:szCs w:val="24"/>
        </w:rPr>
        <w:t xml:space="preserve"> and the information </w:t>
      </w:r>
      <w:r w:rsidR="002157F2">
        <w:rPr>
          <w:rFonts w:cs="Times New Roman"/>
          <w:szCs w:val="24"/>
        </w:rPr>
        <w:t>sharing events</w:t>
      </w:r>
      <w:r w:rsidR="003C51AE">
        <w:rPr>
          <w:rFonts w:cs="Times New Roman"/>
          <w:szCs w:val="24"/>
        </w:rPr>
        <w:t xml:space="preserve"> that are needed to enable the completion of the identified business use case.</w:t>
      </w:r>
    </w:p>
    <w:p w:rsidR="00B57EAE" w:rsidRDefault="0010069C" w:rsidP="0050439E">
      <w:pPr>
        <w:pStyle w:val="ListParagraph"/>
        <w:numPr>
          <w:ilvl w:val="0"/>
          <w:numId w:val="2"/>
        </w:numPr>
        <w:ind w:left="540" w:firstLine="0"/>
        <w:jc w:val="both"/>
        <w:rPr>
          <w:rFonts w:cs="Times New Roman"/>
          <w:szCs w:val="24"/>
        </w:rPr>
      </w:pPr>
      <w:r>
        <w:rPr>
          <w:rFonts w:cs="Times New Roman"/>
          <w:szCs w:val="24"/>
          <w:u w:val="single"/>
        </w:rPr>
        <w:lastRenderedPageBreak/>
        <w:t>Develop a process map</w:t>
      </w:r>
      <w:r w:rsidRPr="0010069C">
        <w:rPr>
          <w:rFonts w:cs="Times New Roman"/>
          <w:szCs w:val="24"/>
        </w:rPr>
        <w:t xml:space="preserve"> based o</w:t>
      </w:r>
      <w:r>
        <w:rPr>
          <w:rFonts w:cs="Times New Roman"/>
          <w:szCs w:val="24"/>
        </w:rPr>
        <w:t>n t</w:t>
      </w:r>
      <w:r w:rsidR="00A66C3B">
        <w:rPr>
          <w:rFonts w:cs="Times New Roman"/>
          <w:szCs w:val="24"/>
        </w:rPr>
        <w:t xml:space="preserve">he discussion in the workgroup. </w:t>
      </w:r>
      <w:r w:rsidR="00617590">
        <w:rPr>
          <w:rFonts w:cs="Times New Roman"/>
          <w:szCs w:val="24"/>
        </w:rPr>
        <w:t>A</w:t>
      </w:r>
      <w:r w:rsidR="00CA0AC6">
        <w:rPr>
          <w:rFonts w:cs="Times New Roman"/>
          <w:szCs w:val="24"/>
        </w:rPr>
        <w:t xml:space="preserve"> process map</w:t>
      </w:r>
      <w:r w:rsidR="00012F59" w:rsidRPr="00012F59">
        <w:rPr>
          <w:rFonts w:cs="Times New Roman"/>
          <w:szCs w:val="24"/>
        </w:rPr>
        <w:t xml:space="preserve"> </w:t>
      </w:r>
      <w:r w:rsidR="00012F59">
        <w:rPr>
          <w:rFonts w:cs="Times New Roman"/>
          <w:szCs w:val="24"/>
        </w:rPr>
        <w:t xml:space="preserve">representing the current practice or a proposed business process will be developed to describe </w:t>
      </w:r>
      <w:r w:rsidR="00617590">
        <w:rPr>
          <w:rFonts w:cs="Times New Roman"/>
          <w:szCs w:val="24"/>
        </w:rPr>
        <w:t xml:space="preserve">the </w:t>
      </w:r>
      <w:r w:rsidR="00012F59">
        <w:rPr>
          <w:rFonts w:cs="Times New Roman"/>
          <w:szCs w:val="24"/>
        </w:rPr>
        <w:t>sequence of work and who perform the activities in the workflow</w:t>
      </w:r>
      <w:r w:rsidR="00CA0AC6">
        <w:rPr>
          <w:rFonts w:cs="Times New Roman"/>
          <w:szCs w:val="24"/>
        </w:rPr>
        <w:t xml:space="preserve">. </w:t>
      </w:r>
      <w:r w:rsidR="00C34896">
        <w:rPr>
          <w:rFonts w:cs="Times New Roman"/>
          <w:szCs w:val="24"/>
        </w:rPr>
        <w:t>The process map also locates where</w:t>
      </w:r>
      <w:r w:rsidR="008C5C0D">
        <w:rPr>
          <w:rFonts w:cs="Times New Roman"/>
          <w:szCs w:val="24"/>
        </w:rPr>
        <w:t xml:space="preserve"> </w:t>
      </w:r>
      <w:r w:rsidR="00C34896">
        <w:rPr>
          <w:rFonts w:cs="Times New Roman"/>
          <w:szCs w:val="24"/>
        </w:rPr>
        <w:t>data exchange will occur</w:t>
      </w:r>
      <w:r w:rsidR="00361F09">
        <w:rPr>
          <w:rFonts w:cs="Times New Roman"/>
          <w:szCs w:val="24"/>
        </w:rPr>
        <w:t xml:space="preserve"> and the level of detail needed</w:t>
      </w:r>
      <w:r w:rsidR="00C34896">
        <w:rPr>
          <w:rFonts w:cs="Times New Roman"/>
          <w:szCs w:val="24"/>
        </w:rPr>
        <w:t>.</w:t>
      </w:r>
      <w:r w:rsidR="00D62E57">
        <w:rPr>
          <w:rFonts w:cs="Times New Roman"/>
          <w:szCs w:val="24"/>
        </w:rPr>
        <w:t xml:space="preserve"> T</w:t>
      </w:r>
      <w:r w:rsidR="0091324C">
        <w:rPr>
          <w:rFonts w:cs="Times New Roman"/>
          <w:szCs w:val="24"/>
        </w:rPr>
        <w:t>he</w:t>
      </w:r>
      <w:r w:rsidR="00EA0BDF">
        <w:rPr>
          <w:rFonts w:cs="Times New Roman"/>
          <w:szCs w:val="24"/>
        </w:rPr>
        <w:t xml:space="preserve"> process map </w:t>
      </w:r>
      <w:r w:rsidR="00D62E57">
        <w:rPr>
          <w:rFonts w:cs="Times New Roman"/>
          <w:szCs w:val="24"/>
        </w:rPr>
        <w:t xml:space="preserve">is </w:t>
      </w:r>
      <w:r w:rsidR="00A70729">
        <w:rPr>
          <w:rFonts w:cs="Times New Roman"/>
          <w:szCs w:val="24"/>
        </w:rPr>
        <w:t>model</w:t>
      </w:r>
      <w:r w:rsidR="0091324C">
        <w:rPr>
          <w:rFonts w:cs="Times New Roman"/>
          <w:szCs w:val="24"/>
        </w:rPr>
        <w:t>ed</w:t>
      </w:r>
      <w:r w:rsidR="00EA0BDF">
        <w:rPr>
          <w:rFonts w:cs="Times New Roman"/>
          <w:szCs w:val="24"/>
        </w:rPr>
        <w:t xml:space="preserve"> using the Business Process Modelling Notation (BPMN)</w:t>
      </w:r>
      <w:r w:rsidR="00A70729">
        <w:rPr>
          <w:rFonts w:cs="Times New Roman"/>
          <w:szCs w:val="24"/>
        </w:rPr>
        <w:t xml:space="preserve"> which can allow for visualization and support application development</w:t>
      </w:r>
      <w:r w:rsidR="00D62E57">
        <w:rPr>
          <w:rFonts w:cs="Times New Roman"/>
          <w:szCs w:val="24"/>
        </w:rPr>
        <w:t xml:space="preserve">. </w:t>
      </w:r>
      <w:r w:rsidR="0041117F">
        <w:rPr>
          <w:rFonts w:cs="Times New Roman"/>
          <w:szCs w:val="24"/>
        </w:rPr>
        <w:t xml:space="preserve">Along with the BPMN graph, the map will also be described in </w:t>
      </w:r>
      <w:r w:rsidR="00D62E57">
        <w:rPr>
          <w:rFonts w:cs="Times New Roman"/>
          <w:szCs w:val="24"/>
        </w:rPr>
        <w:t xml:space="preserve">plain English </w:t>
      </w:r>
      <w:r w:rsidR="0041117F">
        <w:rPr>
          <w:rFonts w:cs="Times New Roman"/>
          <w:szCs w:val="24"/>
        </w:rPr>
        <w:t xml:space="preserve">for the end user. </w:t>
      </w:r>
    </w:p>
    <w:p w:rsidR="005007AD" w:rsidRDefault="005007AD" w:rsidP="0050439E">
      <w:pPr>
        <w:pStyle w:val="ListParagraph"/>
        <w:numPr>
          <w:ilvl w:val="0"/>
          <w:numId w:val="2"/>
        </w:numPr>
        <w:ind w:left="540" w:firstLine="0"/>
        <w:jc w:val="both"/>
        <w:rPr>
          <w:rFonts w:cs="Times New Roman"/>
          <w:szCs w:val="24"/>
        </w:rPr>
      </w:pPr>
      <w:r>
        <w:rPr>
          <w:rFonts w:cs="Times New Roman"/>
          <w:szCs w:val="24"/>
          <w:u w:val="single"/>
        </w:rPr>
        <w:t>Create d</w:t>
      </w:r>
      <w:r w:rsidR="00C902AE">
        <w:rPr>
          <w:rFonts w:cs="Times New Roman"/>
          <w:szCs w:val="24"/>
          <w:u w:val="single"/>
        </w:rPr>
        <w:t>ata exchange requireme</w:t>
      </w:r>
      <w:r w:rsidR="00A31D09">
        <w:rPr>
          <w:rFonts w:cs="Times New Roman"/>
          <w:szCs w:val="24"/>
          <w:u w:val="single"/>
        </w:rPr>
        <w:t>nt</w:t>
      </w:r>
      <w:r w:rsidR="00C902AE">
        <w:rPr>
          <w:rFonts w:cs="Times New Roman"/>
          <w:szCs w:val="24"/>
          <w:u w:val="single"/>
        </w:rPr>
        <w:t xml:space="preserve"> (ER)</w:t>
      </w:r>
      <w:r w:rsidR="00C902AE" w:rsidRPr="00C902AE">
        <w:rPr>
          <w:rFonts w:cs="Times New Roman"/>
          <w:szCs w:val="24"/>
        </w:rPr>
        <w:t xml:space="preserve"> for each of the data sharing scenarios identified in the process map. </w:t>
      </w:r>
      <w:r w:rsidR="00E762A9">
        <w:rPr>
          <w:rFonts w:cs="Times New Roman"/>
          <w:szCs w:val="24"/>
        </w:rPr>
        <w:t xml:space="preserve">An ER consists of the following </w:t>
      </w:r>
      <w:r w:rsidR="0054173F">
        <w:rPr>
          <w:rFonts w:cs="Times New Roman"/>
          <w:szCs w:val="24"/>
        </w:rPr>
        <w:t>information: (1) who is requesting the information, (2) why the activity</w:t>
      </w:r>
      <w:r w:rsidR="0054173F" w:rsidRPr="0054173F">
        <w:rPr>
          <w:rFonts w:cs="Times New Roman"/>
          <w:szCs w:val="24"/>
        </w:rPr>
        <w:t xml:space="preserve"> </w:t>
      </w:r>
      <w:r w:rsidR="0054173F">
        <w:rPr>
          <w:rFonts w:cs="Times New Roman"/>
          <w:szCs w:val="24"/>
        </w:rPr>
        <w:t xml:space="preserve">is happening, (3) when at what phase project execution is, (4) what data (entities, objects, and properties) is needed, (5) to whom the request is being given, (6) how generally the resources (e.g., computer systems, equipment, etc.) are used for a specific activity, and (7) inputs and outcome data. </w:t>
      </w:r>
      <w:r w:rsidR="00EA0BDF">
        <w:rPr>
          <w:rFonts w:cs="Times New Roman"/>
          <w:szCs w:val="24"/>
        </w:rPr>
        <w:t xml:space="preserve">An exchange requirement is shown as ‘message driven event’ in the MPMN process map. </w:t>
      </w:r>
    </w:p>
    <w:p w:rsidR="0009658D" w:rsidRPr="00E13FB7" w:rsidRDefault="008740E6" w:rsidP="0050439E">
      <w:pPr>
        <w:pStyle w:val="ListParagraph"/>
        <w:numPr>
          <w:ilvl w:val="0"/>
          <w:numId w:val="2"/>
        </w:numPr>
        <w:ind w:left="540" w:firstLine="0"/>
        <w:jc w:val="both"/>
        <w:rPr>
          <w:rFonts w:cs="Times New Roman"/>
          <w:szCs w:val="24"/>
        </w:rPr>
      </w:pPr>
      <w:r>
        <w:rPr>
          <w:rFonts w:cs="Times New Roman"/>
          <w:szCs w:val="24"/>
          <w:u w:val="single"/>
        </w:rPr>
        <w:t>Develop a software application to facilitate the implementation of IDM.</w:t>
      </w:r>
      <w:r w:rsidRPr="00E13FB7">
        <w:rPr>
          <w:rFonts w:cs="Times New Roman"/>
          <w:szCs w:val="24"/>
        </w:rPr>
        <w:t xml:space="preserve"> </w:t>
      </w:r>
      <w:r w:rsidR="00B047D0">
        <w:rPr>
          <w:rFonts w:cs="Times New Roman"/>
          <w:szCs w:val="24"/>
        </w:rPr>
        <w:t>This</w:t>
      </w:r>
      <w:r w:rsidR="006E39F6">
        <w:rPr>
          <w:rFonts w:cs="Times New Roman"/>
          <w:szCs w:val="24"/>
        </w:rPr>
        <w:t xml:space="preserve"> stage aims to identify what applications support each of the work in the workflow and map</w:t>
      </w:r>
      <w:r w:rsidR="0009658D" w:rsidRPr="00E13FB7">
        <w:rPr>
          <w:rFonts w:cs="Times New Roman"/>
          <w:szCs w:val="24"/>
        </w:rPr>
        <w:t xml:space="preserve"> the identified data</w:t>
      </w:r>
      <w:r w:rsidR="007410FA">
        <w:rPr>
          <w:rFonts w:cs="Times New Roman"/>
          <w:szCs w:val="24"/>
        </w:rPr>
        <w:t xml:space="preserve"> in the ER</w:t>
      </w:r>
      <w:r w:rsidR="0009658D" w:rsidRPr="00E13FB7">
        <w:rPr>
          <w:rFonts w:cs="Times New Roman"/>
          <w:szCs w:val="24"/>
        </w:rPr>
        <w:t xml:space="preserve"> to the entities</w:t>
      </w:r>
      <w:r w:rsidR="003C3266">
        <w:rPr>
          <w:rFonts w:cs="Times New Roman"/>
          <w:szCs w:val="24"/>
        </w:rPr>
        <w:t>/attributes</w:t>
      </w:r>
      <w:r w:rsidR="0009658D" w:rsidRPr="00E13FB7">
        <w:rPr>
          <w:rFonts w:cs="Times New Roman"/>
          <w:szCs w:val="24"/>
        </w:rPr>
        <w:t xml:space="preserve"> in </w:t>
      </w:r>
      <w:r w:rsidR="00B26CBC" w:rsidRPr="00E13FB7">
        <w:rPr>
          <w:rFonts w:cs="Times New Roman"/>
          <w:szCs w:val="24"/>
        </w:rPr>
        <w:t>the</w:t>
      </w:r>
      <w:r w:rsidR="0009658D" w:rsidRPr="00E13FB7">
        <w:rPr>
          <w:rFonts w:cs="Times New Roman"/>
          <w:szCs w:val="24"/>
        </w:rPr>
        <w:t xml:space="preserve"> software application. </w:t>
      </w:r>
    </w:p>
    <w:p w:rsidR="000B4EB3" w:rsidRDefault="000B4EB3" w:rsidP="0050439E">
      <w:pPr>
        <w:jc w:val="both"/>
        <w:rPr>
          <w:rFonts w:cs="Times New Roman"/>
          <w:szCs w:val="24"/>
        </w:rPr>
      </w:pPr>
    </w:p>
    <w:p w:rsidR="00F61638" w:rsidRDefault="000B4EB3" w:rsidP="00634668">
      <w:pPr>
        <w:jc w:val="both"/>
        <w:rPr>
          <w:rFonts w:cs="Times New Roman"/>
          <w:i/>
          <w:szCs w:val="24"/>
        </w:rPr>
      </w:pPr>
      <w:r w:rsidRPr="000B4EB3">
        <w:rPr>
          <w:rFonts w:cs="Times New Roman"/>
          <w:i/>
          <w:szCs w:val="24"/>
        </w:rPr>
        <w:t>IDM development status</w:t>
      </w:r>
    </w:p>
    <w:p w:rsidR="00634668" w:rsidRPr="00634668" w:rsidRDefault="00634668" w:rsidP="00634668">
      <w:pPr>
        <w:jc w:val="both"/>
        <w:rPr>
          <w:rFonts w:cs="Times New Roman"/>
          <w:szCs w:val="24"/>
        </w:rPr>
      </w:pPr>
      <w:r>
        <w:rPr>
          <w:rFonts w:cs="Times New Roman"/>
          <w:szCs w:val="24"/>
        </w:rPr>
        <w:t xml:space="preserve">IDM has attracted tremendous attention worldwide. According to a review of </w:t>
      </w:r>
      <w:r w:rsidR="00EF4488">
        <w:rPr>
          <w:rFonts w:cs="Times New Roman"/>
          <w:szCs w:val="24"/>
        </w:rPr>
        <w:t xml:space="preserve">the </w:t>
      </w:r>
      <w:r>
        <w:rPr>
          <w:rFonts w:cs="Times New Roman"/>
          <w:szCs w:val="24"/>
        </w:rPr>
        <w:t>existing effort</w:t>
      </w:r>
      <w:r w:rsidR="00EF4488">
        <w:rPr>
          <w:rFonts w:cs="Times New Roman"/>
          <w:szCs w:val="24"/>
        </w:rPr>
        <w:t>s</w:t>
      </w:r>
      <w:r>
        <w:rPr>
          <w:rFonts w:cs="Times New Roman"/>
          <w:szCs w:val="24"/>
        </w:rPr>
        <w:t>, there are more than 30 separate IDM projects have been developed or in progress for various business process</w:t>
      </w:r>
      <w:r w:rsidR="00EF4488">
        <w:rPr>
          <w:rFonts w:cs="Times New Roman"/>
          <w:szCs w:val="24"/>
        </w:rPr>
        <w:t>es</w:t>
      </w:r>
      <w:r>
        <w:rPr>
          <w:rFonts w:cs="Times New Roman"/>
          <w:szCs w:val="24"/>
        </w:rPr>
        <w:t xml:space="preserve"> within the life cycle of a building project. Some examples of the approved IDMs include Construction Operations Building Information Exchange (Cobie) standard, IDM for precast concrete standard, etc. </w:t>
      </w:r>
    </w:p>
    <w:p w:rsidR="00E440C0" w:rsidRDefault="00E440C0" w:rsidP="0050439E">
      <w:pPr>
        <w:jc w:val="both"/>
        <w:rPr>
          <w:rFonts w:cs="Times New Roman"/>
          <w:szCs w:val="24"/>
        </w:rPr>
      </w:pPr>
    </w:p>
    <w:p w:rsidR="000B4EB3" w:rsidRDefault="00A42AD9" w:rsidP="0050439E">
      <w:pPr>
        <w:jc w:val="both"/>
        <w:rPr>
          <w:rFonts w:cs="Times New Roman"/>
          <w:szCs w:val="24"/>
        </w:rPr>
      </w:pPr>
      <w:r>
        <w:rPr>
          <w:rFonts w:cs="Times New Roman"/>
          <w:szCs w:val="24"/>
        </w:rPr>
        <w:t>The top p</w:t>
      </w:r>
      <w:r w:rsidR="00A7036E">
        <w:rPr>
          <w:rFonts w:cs="Times New Roman"/>
          <w:szCs w:val="24"/>
        </w:rPr>
        <w:t>rioritized IDM</w:t>
      </w:r>
      <w:r w:rsidR="004C6E3B">
        <w:rPr>
          <w:rFonts w:cs="Times New Roman"/>
          <w:szCs w:val="24"/>
        </w:rPr>
        <w:t>s</w:t>
      </w:r>
      <w:r w:rsidR="00AC0927">
        <w:rPr>
          <w:rFonts w:cs="Times New Roman"/>
          <w:szCs w:val="24"/>
        </w:rPr>
        <w:t xml:space="preserve"> identified by buildingSMART</w:t>
      </w:r>
      <w:r>
        <w:rPr>
          <w:rFonts w:cs="Times New Roman"/>
          <w:szCs w:val="24"/>
        </w:rPr>
        <w:t xml:space="preserve"> include</w:t>
      </w:r>
      <w:r w:rsidR="00A7036E">
        <w:rPr>
          <w:rFonts w:cs="Times New Roman"/>
          <w:szCs w:val="24"/>
        </w:rPr>
        <w:t>:</w:t>
      </w:r>
    </w:p>
    <w:p w:rsidR="00A7036E" w:rsidRDefault="00A7036E" w:rsidP="0050439E">
      <w:pPr>
        <w:pStyle w:val="ListParagraph"/>
        <w:numPr>
          <w:ilvl w:val="0"/>
          <w:numId w:val="1"/>
        </w:numPr>
        <w:jc w:val="both"/>
        <w:rPr>
          <w:rFonts w:cs="Times New Roman"/>
          <w:szCs w:val="24"/>
        </w:rPr>
      </w:pPr>
      <w:r>
        <w:rPr>
          <w:rFonts w:cs="Times New Roman"/>
          <w:szCs w:val="24"/>
        </w:rPr>
        <w:t>Performing energy analysis in the feasibility phase</w:t>
      </w:r>
      <w:r w:rsidR="00EF4488">
        <w:rPr>
          <w:rFonts w:cs="Times New Roman"/>
          <w:szCs w:val="24"/>
        </w:rPr>
        <w:t>;</w:t>
      </w:r>
    </w:p>
    <w:p w:rsidR="00A7036E" w:rsidRDefault="00A7036E" w:rsidP="0050439E">
      <w:pPr>
        <w:pStyle w:val="ListParagraph"/>
        <w:numPr>
          <w:ilvl w:val="0"/>
          <w:numId w:val="1"/>
        </w:numPr>
        <w:jc w:val="both"/>
        <w:rPr>
          <w:rFonts w:cs="Times New Roman"/>
          <w:szCs w:val="24"/>
        </w:rPr>
      </w:pPr>
      <w:r>
        <w:rPr>
          <w:rFonts w:cs="Times New Roman"/>
          <w:szCs w:val="24"/>
        </w:rPr>
        <w:t xml:space="preserve">Creation of architectural, structural, electrical and HVAC BIM models in the </w:t>
      </w:r>
      <w:r w:rsidR="0046134B">
        <w:rPr>
          <w:rFonts w:cs="Times New Roman"/>
          <w:szCs w:val="24"/>
        </w:rPr>
        <w:t>d</w:t>
      </w:r>
      <w:r w:rsidR="00EF4488">
        <w:rPr>
          <w:rFonts w:cs="Times New Roman"/>
          <w:szCs w:val="24"/>
        </w:rPr>
        <w:t>esign phase;</w:t>
      </w:r>
    </w:p>
    <w:p w:rsidR="00A7036E" w:rsidRDefault="00A7036E" w:rsidP="0050439E">
      <w:pPr>
        <w:pStyle w:val="ListParagraph"/>
        <w:numPr>
          <w:ilvl w:val="0"/>
          <w:numId w:val="1"/>
        </w:numPr>
        <w:jc w:val="both"/>
        <w:rPr>
          <w:rFonts w:cs="Times New Roman"/>
          <w:szCs w:val="24"/>
        </w:rPr>
      </w:pPr>
      <w:r>
        <w:rPr>
          <w:rFonts w:cs="Times New Roman"/>
          <w:szCs w:val="24"/>
        </w:rPr>
        <w:t>Perform quantity take-off and cost analysis during coordinated design and procurement stage</w:t>
      </w:r>
      <w:r w:rsidR="00EF4488">
        <w:rPr>
          <w:rFonts w:cs="Times New Roman"/>
          <w:szCs w:val="24"/>
        </w:rPr>
        <w:t>;</w:t>
      </w:r>
    </w:p>
    <w:p w:rsidR="00A7036E" w:rsidRDefault="00A7036E" w:rsidP="0050439E">
      <w:pPr>
        <w:pStyle w:val="ListParagraph"/>
        <w:numPr>
          <w:ilvl w:val="0"/>
          <w:numId w:val="1"/>
        </w:numPr>
        <w:jc w:val="both"/>
        <w:rPr>
          <w:rFonts w:cs="Times New Roman"/>
          <w:szCs w:val="24"/>
        </w:rPr>
      </w:pPr>
      <w:r>
        <w:rPr>
          <w:rFonts w:cs="Times New Roman"/>
          <w:szCs w:val="24"/>
        </w:rPr>
        <w:t>Develop facility management during coordinated design and procurement stage</w:t>
      </w:r>
      <w:r w:rsidR="00EF4488">
        <w:rPr>
          <w:rFonts w:cs="Times New Roman"/>
          <w:szCs w:val="24"/>
        </w:rPr>
        <w:t>;</w:t>
      </w:r>
    </w:p>
    <w:p w:rsidR="00802C98" w:rsidRPr="0046134B" w:rsidRDefault="00A7036E" w:rsidP="0050439E">
      <w:pPr>
        <w:pStyle w:val="ListParagraph"/>
        <w:numPr>
          <w:ilvl w:val="0"/>
          <w:numId w:val="1"/>
        </w:numPr>
        <w:jc w:val="both"/>
        <w:rPr>
          <w:rFonts w:cs="Times New Roman"/>
          <w:szCs w:val="24"/>
        </w:rPr>
      </w:pPr>
      <w:r>
        <w:rPr>
          <w:rFonts w:cs="Times New Roman"/>
          <w:szCs w:val="24"/>
        </w:rPr>
        <w:t>Perform consistency control during coordinated design and procurement stage</w:t>
      </w:r>
      <w:r w:rsidR="00EF4488">
        <w:rPr>
          <w:rFonts w:cs="Times New Roman"/>
          <w:szCs w:val="24"/>
        </w:rPr>
        <w:t>.</w:t>
      </w:r>
    </w:p>
    <w:p w:rsidR="004B2A1B" w:rsidRPr="004B2A1B" w:rsidRDefault="004B2A1B" w:rsidP="0050439E">
      <w:pPr>
        <w:jc w:val="both"/>
        <w:rPr>
          <w:rFonts w:cs="Times New Roman"/>
          <w:szCs w:val="24"/>
        </w:rPr>
      </w:pPr>
    </w:p>
    <w:p w:rsidR="0005235E" w:rsidRDefault="0005235E" w:rsidP="0050439E">
      <w:pPr>
        <w:jc w:val="both"/>
        <w:rPr>
          <w:rFonts w:cs="Times New Roman"/>
          <w:b/>
          <w:szCs w:val="24"/>
        </w:rPr>
      </w:pPr>
      <w:r>
        <w:rPr>
          <w:rFonts w:cs="Times New Roman"/>
          <w:b/>
          <w:szCs w:val="24"/>
        </w:rPr>
        <w:t>IDM for precast concrete</w:t>
      </w:r>
      <w:r w:rsidR="00717688">
        <w:rPr>
          <w:rFonts w:cs="Times New Roman"/>
          <w:b/>
          <w:szCs w:val="24"/>
        </w:rPr>
        <w:t xml:space="preserve"> </w:t>
      </w:r>
      <w:r w:rsidR="00160AF9">
        <w:rPr>
          <w:rFonts w:cs="Times New Roman"/>
          <w:b/>
          <w:szCs w:val="24"/>
        </w:rPr>
        <w:fldChar w:fldCharType="begin"/>
      </w:r>
      <w:r w:rsidR="003849F8">
        <w:rPr>
          <w:rFonts w:cs="Times New Roman"/>
          <w:b/>
          <w:szCs w:val="24"/>
        </w:rPr>
        <w:instrText xml:space="preserve"> ADDIN EN.CITE &lt;EndNote&gt;&lt;Cite&gt;&lt;Author&gt;Eastman&lt;/Author&gt;&lt;Year&gt;2009&lt;/Year&gt;&lt;RecNum&gt;1583&lt;/RecNum&gt;&lt;DisplayText&gt;(C Eastman et al., 2009)&lt;/DisplayText&gt;&lt;record&gt;&lt;rec-number&gt;1583&lt;/rec-number&gt;&lt;foreign-keys&gt;&lt;key app="EN" db-id="wx22awww1fsvziezd5b5xdxopvts0v0fe0zp"&gt;1583&lt;/key&gt;&lt;/foreign-keys&gt;&lt;ref-type name="Journal Article"&gt;17&lt;/ref-type&gt;&lt;contributors&gt;&lt;authors&gt;&lt;author&gt;Eastman, C&lt;/author&gt;&lt;author&gt;Sacks, R&lt;/author&gt;&lt;author&gt;Panushev, I&lt;/author&gt;&lt;author&gt;Aram, V&lt;/author&gt;&lt;author&gt;Yagmur, E&lt;/author&gt;&lt;/authors&gt;&lt;/contributors&gt;&lt;titles&gt;&lt;title&gt;Information delivery manual for precast concrete&lt;/title&gt;&lt;secondary-title&gt;PCI-Charles Pankow Foundation. http://dcom. arch. gatech. edu/pcibim/documents/IDM_for_Precast. pdf (last accessed on 6/20/2010)&lt;/secondary-title&gt;&lt;/titles&gt;&lt;periodical&gt;&lt;full-title&gt;PCI-Charles Pankow Foundation. http://dcom. arch. gatech. edu/pcibim/documents/IDM_for_Precast. pdf (last accessed on 6/20/2010)&lt;/full-title&gt;&lt;/periodical&gt;&lt;dates&gt;&lt;year&gt;2009&lt;/year&gt;&lt;/dates&gt;&lt;urls&gt;&lt;/urls&gt;&lt;research-notes&gt;idm for precast concrete&lt;/research-notes&gt;&lt;/record&gt;&lt;/Cite&gt;&lt;/EndNote&gt;</w:instrText>
      </w:r>
      <w:r w:rsidR="00160AF9">
        <w:rPr>
          <w:rFonts w:cs="Times New Roman"/>
          <w:b/>
          <w:szCs w:val="24"/>
        </w:rPr>
        <w:fldChar w:fldCharType="separate"/>
      </w:r>
      <w:r w:rsidR="003849F8">
        <w:rPr>
          <w:rFonts w:cs="Times New Roman"/>
          <w:b/>
          <w:noProof/>
          <w:szCs w:val="24"/>
        </w:rPr>
        <w:t>(</w:t>
      </w:r>
      <w:hyperlink w:anchor="_ENREF_2" w:tooltip="Eastman, 2009 #1583" w:history="1">
        <w:r w:rsidR="003849F8">
          <w:rPr>
            <w:rFonts w:cs="Times New Roman"/>
            <w:b/>
            <w:noProof/>
            <w:szCs w:val="24"/>
          </w:rPr>
          <w:t>C Eastman et al., 2009</w:t>
        </w:r>
      </w:hyperlink>
      <w:r w:rsidR="003849F8">
        <w:rPr>
          <w:rFonts w:cs="Times New Roman"/>
          <w:b/>
          <w:noProof/>
          <w:szCs w:val="24"/>
        </w:rPr>
        <w:t>)</w:t>
      </w:r>
      <w:r w:rsidR="00160AF9">
        <w:rPr>
          <w:rFonts w:cs="Times New Roman"/>
          <w:b/>
          <w:szCs w:val="24"/>
        </w:rPr>
        <w:fldChar w:fldCharType="end"/>
      </w:r>
    </w:p>
    <w:p w:rsidR="00995105" w:rsidRPr="00FA079B" w:rsidRDefault="00FA079B" w:rsidP="0050439E">
      <w:pPr>
        <w:jc w:val="both"/>
        <w:rPr>
          <w:rFonts w:cs="Times New Roman"/>
          <w:i/>
          <w:szCs w:val="24"/>
        </w:rPr>
      </w:pPr>
      <w:r w:rsidRPr="00FA079B">
        <w:rPr>
          <w:rFonts w:cs="Times New Roman"/>
          <w:i/>
          <w:szCs w:val="24"/>
        </w:rPr>
        <w:t>IDM scope</w:t>
      </w:r>
    </w:p>
    <w:p w:rsidR="00FA079B" w:rsidRDefault="00411A97" w:rsidP="0050439E">
      <w:pPr>
        <w:jc w:val="both"/>
        <w:rPr>
          <w:rFonts w:cs="Times New Roman"/>
          <w:szCs w:val="24"/>
        </w:rPr>
      </w:pPr>
      <w:r>
        <w:rPr>
          <w:rFonts w:cs="Times New Roman"/>
          <w:szCs w:val="24"/>
        </w:rPr>
        <w:t>This IDM focus</w:t>
      </w:r>
      <w:r w:rsidR="00E62987">
        <w:rPr>
          <w:rFonts w:cs="Times New Roman"/>
          <w:szCs w:val="24"/>
        </w:rPr>
        <w:t>es</w:t>
      </w:r>
      <w:r>
        <w:rPr>
          <w:rFonts w:cs="Times New Roman"/>
          <w:szCs w:val="24"/>
        </w:rPr>
        <w:t xml:space="preserve"> on </w:t>
      </w:r>
      <w:r w:rsidR="00137112">
        <w:rPr>
          <w:rFonts w:cs="Times New Roman"/>
          <w:szCs w:val="24"/>
        </w:rPr>
        <w:t>the data exchanges</w:t>
      </w:r>
      <w:r>
        <w:rPr>
          <w:rFonts w:cs="Times New Roman"/>
          <w:szCs w:val="24"/>
        </w:rPr>
        <w:t xml:space="preserve"> between architects, engineers, general contractors and precast fabricators</w:t>
      </w:r>
      <w:r w:rsidR="00CD4736">
        <w:rPr>
          <w:rFonts w:cs="Times New Roman"/>
          <w:szCs w:val="24"/>
        </w:rPr>
        <w:t xml:space="preserve"> from the programming to </w:t>
      </w:r>
      <w:r w:rsidR="00CD77A3">
        <w:rPr>
          <w:rFonts w:cs="Times New Roman"/>
          <w:szCs w:val="24"/>
        </w:rPr>
        <w:t>fabrication</w:t>
      </w:r>
      <w:r w:rsidR="00CD4736">
        <w:rPr>
          <w:rFonts w:cs="Times New Roman"/>
          <w:szCs w:val="24"/>
        </w:rPr>
        <w:t xml:space="preserve"> phase</w:t>
      </w:r>
      <w:r>
        <w:rPr>
          <w:rFonts w:cs="Times New Roman"/>
          <w:szCs w:val="24"/>
        </w:rPr>
        <w:t xml:space="preserve">. </w:t>
      </w:r>
    </w:p>
    <w:p w:rsidR="00F06AC5" w:rsidRDefault="00F06AC5" w:rsidP="0050439E">
      <w:pPr>
        <w:jc w:val="both"/>
        <w:rPr>
          <w:rFonts w:cs="Times New Roman"/>
          <w:szCs w:val="24"/>
        </w:rPr>
      </w:pPr>
    </w:p>
    <w:p w:rsidR="00816939" w:rsidRDefault="00816939" w:rsidP="0050439E">
      <w:pPr>
        <w:jc w:val="both"/>
        <w:rPr>
          <w:rFonts w:cs="Times New Roman"/>
          <w:i/>
          <w:szCs w:val="24"/>
        </w:rPr>
      </w:pPr>
      <w:r w:rsidRPr="00816939">
        <w:rPr>
          <w:rFonts w:cs="Times New Roman"/>
          <w:i/>
          <w:szCs w:val="24"/>
        </w:rPr>
        <w:t>Process map</w:t>
      </w:r>
    </w:p>
    <w:p w:rsidR="00C42CA7" w:rsidRDefault="00203717" w:rsidP="00C42CA7">
      <w:pPr>
        <w:jc w:val="both"/>
        <w:rPr>
          <w:rFonts w:cs="Times New Roman"/>
          <w:szCs w:val="24"/>
        </w:rPr>
      </w:pPr>
      <w:r>
        <w:rPr>
          <w:rFonts w:cs="Times New Roman"/>
          <w:szCs w:val="24"/>
        </w:rPr>
        <w:t>This IDM divides the life cycle of an architectural precast project into two phases that are pre-construction and fabrication and erection phases.</w:t>
      </w:r>
      <w:r w:rsidR="00C42CA7">
        <w:rPr>
          <w:rFonts w:cs="Times New Roman"/>
          <w:szCs w:val="24"/>
        </w:rPr>
        <w:t xml:space="preserve"> </w:t>
      </w:r>
      <w:r w:rsidR="00566191">
        <w:rPr>
          <w:rFonts w:cs="Times New Roman"/>
          <w:szCs w:val="24"/>
        </w:rPr>
        <w:t>Figure 1</w:t>
      </w:r>
      <w:r w:rsidR="00C42CA7">
        <w:rPr>
          <w:rFonts w:cs="Times New Roman"/>
          <w:szCs w:val="24"/>
        </w:rPr>
        <w:t xml:space="preserve"> shows the formal</w:t>
      </w:r>
      <w:r w:rsidR="00B516BE">
        <w:rPr>
          <w:rFonts w:cs="Times New Roman"/>
          <w:szCs w:val="24"/>
        </w:rPr>
        <w:t xml:space="preserve"> BPMN</w:t>
      </w:r>
      <w:r w:rsidR="00C42CA7">
        <w:rPr>
          <w:rFonts w:cs="Times New Roman"/>
          <w:szCs w:val="24"/>
        </w:rPr>
        <w:t xml:space="preserve"> process map of the </w:t>
      </w:r>
      <w:r w:rsidR="0068730E">
        <w:rPr>
          <w:rFonts w:cs="Times New Roman"/>
          <w:szCs w:val="24"/>
        </w:rPr>
        <w:t>pre-construction</w:t>
      </w:r>
      <w:r w:rsidR="00C42CA7">
        <w:rPr>
          <w:rFonts w:cs="Times New Roman"/>
          <w:szCs w:val="24"/>
        </w:rPr>
        <w:t xml:space="preserve"> workflow. As shown in the figure, </w:t>
      </w:r>
      <w:r w:rsidR="006150AF">
        <w:rPr>
          <w:rFonts w:cs="Times New Roman"/>
          <w:szCs w:val="24"/>
        </w:rPr>
        <w:t>the key information</w:t>
      </w:r>
      <w:r w:rsidR="00C42CA7">
        <w:rPr>
          <w:rFonts w:cs="Times New Roman"/>
          <w:szCs w:val="24"/>
        </w:rPr>
        <w:t xml:space="preserve"> of </w:t>
      </w:r>
      <w:r w:rsidR="0013789F">
        <w:rPr>
          <w:rFonts w:cs="Times New Roman"/>
          <w:szCs w:val="24"/>
        </w:rPr>
        <w:t>th</w:t>
      </w:r>
      <w:r w:rsidR="00AF2AAB">
        <w:rPr>
          <w:rFonts w:cs="Times New Roman"/>
          <w:szCs w:val="24"/>
        </w:rPr>
        <w:t>is</w:t>
      </w:r>
      <w:r w:rsidR="0013789F">
        <w:rPr>
          <w:rFonts w:cs="Times New Roman"/>
          <w:szCs w:val="24"/>
        </w:rPr>
        <w:t xml:space="preserve"> </w:t>
      </w:r>
      <w:r w:rsidR="00C42CA7">
        <w:rPr>
          <w:rFonts w:cs="Times New Roman"/>
          <w:szCs w:val="24"/>
        </w:rPr>
        <w:t xml:space="preserve">process map are as follows. </w:t>
      </w:r>
    </w:p>
    <w:p w:rsidR="00F00BCF" w:rsidRPr="00F00BCF" w:rsidRDefault="00F00BCF" w:rsidP="00F00BCF">
      <w:pPr>
        <w:pStyle w:val="ListParagraph"/>
        <w:numPr>
          <w:ilvl w:val="0"/>
          <w:numId w:val="6"/>
        </w:numPr>
        <w:jc w:val="both"/>
        <w:rPr>
          <w:rFonts w:cs="Times New Roman"/>
          <w:szCs w:val="24"/>
        </w:rPr>
      </w:pPr>
      <w:r>
        <w:rPr>
          <w:rFonts w:cs="Times New Roman"/>
          <w:szCs w:val="24"/>
        </w:rPr>
        <w:t>Project phas</w:t>
      </w:r>
      <w:r w:rsidR="003158DF">
        <w:rPr>
          <w:rFonts w:cs="Times New Roman"/>
          <w:szCs w:val="24"/>
        </w:rPr>
        <w:t>es</w:t>
      </w:r>
      <w:r w:rsidR="00821DB4">
        <w:rPr>
          <w:rFonts w:cs="Times New Roman"/>
          <w:szCs w:val="24"/>
        </w:rPr>
        <w:t xml:space="preserve"> (</w:t>
      </w:r>
      <w:r w:rsidR="00E41FA6">
        <w:rPr>
          <w:rFonts w:cs="Times New Roman"/>
          <w:szCs w:val="24"/>
        </w:rPr>
        <w:t xml:space="preserve">the </w:t>
      </w:r>
      <w:r w:rsidR="00821DB4">
        <w:rPr>
          <w:rFonts w:cs="Times New Roman"/>
          <w:szCs w:val="24"/>
        </w:rPr>
        <w:t>heading row)</w:t>
      </w:r>
      <w:r w:rsidR="003158DF">
        <w:rPr>
          <w:rFonts w:cs="Times New Roman"/>
          <w:szCs w:val="24"/>
        </w:rPr>
        <w:t xml:space="preserve">. The pre-construction phase include </w:t>
      </w:r>
      <w:r>
        <w:rPr>
          <w:rFonts w:cs="Times New Roman"/>
          <w:szCs w:val="24"/>
        </w:rPr>
        <w:t xml:space="preserve">4 sub-phases </w:t>
      </w:r>
      <w:r w:rsidR="00CA29EE">
        <w:rPr>
          <w:rFonts w:cs="Times New Roman"/>
          <w:szCs w:val="24"/>
        </w:rPr>
        <w:t>that are</w:t>
      </w:r>
      <w:r>
        <w:rPr>
          <w:rFonts w:cs="Times New Roman"/>
          <w:szCs w:val="24"/>
        </w:rPr>
        <w:t xml:space="preserve"> preliminary project description, design development, construction documentation and procurement. </w:t>
      </w:r>
    </w:p>
    <w:p w:rsidR="00C42CA7" w:rsidRDefault="0048511A" w:rsidP="00C42CA7">
      <w:pPr>
        <w:pStyle w:val="ListParagraph"/>
        <w:numPr>
          <w:ilvl w:val="0"/>
          <w:numId w:val="5"/>
        </w:numPr>
        <w:jc w:val="both"/>
        <w:rPr>
          <w:rFonts w:cs="Times New Roman"/>
          <w:szCs w:val="24"/>
        </w:rPr>
      </w:pPr>
      <w:r w:rsidRPr="0048511A">
        <w:rPr>
          <w:noProof/>
        </w:rPr>
        <w:lastRenderedPageBreak/>
        <w:t xml:space="preserve"> </w:t>
      </w:r>
      <w:r>
        <w:rPr>
          <w:noProof/>
        </w:rPr>
        <w:drawing>
          <wp:inline distT="0" distB="0" distL="0" distR="0" wp14:anchorId="4F8765CD" wp14:editId="2F707DB6">
            <wp:extent cx="254441" cy="22169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50" cy="242357"/>
                    </a:xfrm>
                    <a:prstGeom prst="rect">
                      <a:avLst/>
                    </a:prstGeom>
                  </pic:spPr>
                </pic:pic>
              </a:graphicData>
            </a:graphic>
          </wp:inline>
        </w:drawing>
      </w:r>
      <w:r w:rsidR="004B23B0">
        <w:rPr>
          <w:noProof/>
        </w:rPr>
        <w:t xml:space="preserve"> </w:t>
      </w:r>
      <w:r w:rsidR="00C42CA7">
        <w:rPr>
          <w:rFonts w:cs="Times New Roman"/>
          <w:szCs w:val="24"/>
        </w:rPr>
        <w:t>Tasks. There are 11 tasks are needed</w:t>
      </w:r>
      <w:r w:rsidR="007E1EC8">
        <w:rPr>
          <w:rFonts w:cs="Times New Roman"/>
          <w:szCs w:val="24"/>
        </w:rPr>
        <w:t xml:space="preserve"> to be completed</w:t>
      </w:r>
      <w:r w:rsidR="00C42CA7">
        <w:rPr>
          <w:rFonts w:cs="Times New Roman"/>
          <w:szCs w:val="24"/>
        </w:rPr>
        <w:t xml:space="preserve">, including: [1.1] Concept design of precast facade, [1.2] structural concept, [1.3] Design review and concept modeling, [1.4] design development, [1.5] engineering requirements, [1.6] precast bid preparation, [1.7] GC bid preparation, [1.8] precast detailing, [1.9] design intent validation, [1.10] structural design review, [1.11] construction coordination. The </w:t>
      </w:r>
      <w:r w:rsidR="004F3CD6">
        <w:rPr>
          <w:rFonts w:cs="Times New Roman"/>
          <w:szCs w:val="24"/>
        </w:rPr>
        <w:t xml:space="preserve">written </w:t>
      </w:r>
      <w:r w:rsidR="00C42CA7">
        <w:rPr>
          <w:rFonts w:cs="Times New Roman"/>
          <w:szCs w:val="24"/>
        </w:rPr>
        <w:t>description of the first</w:t>
      </w:r>
      <w:r w:rsidR="00C13D56">
        <w:rPr>
          <w:rFonts w:cs="Times New Roman"/>
          <w:szCs w:val="24"/>
        </w:rPr>
        <w:t xml:space="preserve"> task</w:t>
      </w:r>
      <w:r w:rsidR="00C42CA7">
        <w:rPr>
          <w:rFonts w:cs="Times New Roman"/>
          <w:szCs w:val="24"/>
        </w:rPr>
        <w:t xml:space="preserve"> </w:t>
      </w:r>
      <w:r w:rsidR="00DC7264">
        <w:rPr>
          <w:rFonts w:cs="Times New Roman"/>
          <w:szCs w:val="24"/>
        </w:rPr>
        <w:t>is</w:t>
      </w:r>
      <w:r w:rsidR="00C42CA7">
        <w:rPr>
          <w:rFonts w:cs="Times New Roman"/>
          <w:szCs w:val="24"/>
        </w:rPr>
        <w:t xml:space="preserve"> shown in Figure 2.</w:t>
      </w:r>
      <w:r w:rsidR="00F90481">
        <w:rPr>
          <w:rFonts w:cs="Times New Roman"/>
          <w:szCs w:val="24"/>
        </w:rPr>
        <w:t xml:space="preserve"> </w:t>
      </w:r>
      <w:r w:rsidR="00651F19">
        <w:rPr>
          <w:rFonts w:cs="Times New Roman"/>
          <w:szCs w:val="24"/>
        </w:rPr>
        <w:t>T</w:t>
      </w:r>
      <w:r w:rsidR="0099285E">
        <w:rPr>
          <w:rFonts w:cs="Times New Roman"/>
          <w:szCs w:val="24"/>
        </w:rPr>
        <w:t>he sequence of tasks is represented by the solid arrows.</w:t>
      </w:r>
    </w:p>
    <w:p w:rsidR="00C42CA7" w:rsidRDefault="00C42CA7" w:rsidP="00C42CA7">
      <w:pPr>
        <w:pStyle w:val="ListParagraph"/>
        <w:numPr>
          <w:ilvl w:val="0"/>
          <w:numId w:val="5"/>
        </w:numPr>
        <w:jc w:val="both"/>
        <w:rPr>
          <w:rFonts w:cs="Times New Roman"/>
          <w:szCs w:val="24"/>
        </w:rPr>
      </w:pPr>
      <w:r>
        <w:rPr>
          <w:rFonts w:cs="Times New Roman"/>
          <w:szCs w:val="24"/>
        </w:rPr>
        <w:t>Actors</w:t>
      </w:r>
      <w:r w:rsidR="0048511A">
        <w:rPr>
          <w:rFonts w:cs="Times New Roman"/>
          <w:szCs w:val="24"/>
        </w:rPr>
        <w:t xml:space="preserve"> (</w:t>
      </w:r>
      <w:r w:rsidR="00821DB4">
        <w:rPr>
          <w:rFonts w:cs="Times New Roman"/>
          <w:szCs w:val="24"/>
        </w:rPr>
        <w:t>t</w:t>
      </w:r>
      <w:r w:rsidR="0048511A">
        <w:rPr>
          <w:rFonts w:cs="Times New Roman"/>
          <w:szCs w:val="24"/>
        </w:rPr>
        <w:t>he left column</w:t>
      </w:r>
      <w:r w:rsidR="00492394">
        <w:rPr>
          <w:rFonts w:cs="Times New Roman"/>
          <w:szCs w:val="24"/>
        </w:rPr>
        <w:t>)</w:t>
      </w:r>
      <w:r>
        <w:rPr>
          <w:rFonts w:cs="Times New Roman"/>
          <w:szCs w:val="24"/>
        </w:rPr>
        <w:t>. Architect, engineer, product vendor and general contractor are four project stakeholders involved in the process.</w:t>
      </w:r>
    </w:p>
    <w:p w:rsidR="00294292" w:rsidRPr="00294292" w:rsidRDefault="00294292" w:rsidP="00294292">
      <w:pPr>
        <w:pStyle w:val="ListParagraph"/>
        <w:numPr>
          <w:ilvl w:val="0"/>
          <w:numId w:val="5"/>
        </w:numPr>
        <w:jc w:val="both"/>
        <w:rPr>
          <w:rFonts w:cs="Times New Roman"/>
          <w:szCs w:val="24"/>
        </w:rPr>
      </w:pPr>
      <w:r>
        <w:rPr>
          <w:rFonts w:cs="Times New Roman"/>
          <w:szCs w:val="24"/>
        </w:rPr>
        <w:t xml:space="preserve">The information exchange scenarios are represented by the dash arrows going from the producer to the receiver. </w:t>
      </w:r>
    </w:p>
    <w:p w:rsidR="00707AD0" w:rsidRDefault="0048511A" w:rsidP="00C42CA7">
      <w:pPr>
        <w:pStyle w:val="ListParagraph"/>
        <w:numPr>
          <w:ilvl w:val="0"/>
          <w:numId w:val="5"/>
        </w:numPr>
        <w:jc w:val="both"/>
        <w:rPr>
          <w:rFonts w:cs="Times New Roman"/>
          <w:szCs w:val="24"/>
        </w:rPr>
      </w:pPr>
      <w:r>
        <w:rPr>
          <w:noProof/>
        </w:rPr>
        <w:drawing>
          <wp:inline distT="0" distB="0" distL="0" distR="0" wp14:anchorId="28EBA21D" wp14:editId="72B6F37F">
            <wp:extent cx="223075" cy="27507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841" cy="310547"/>
                    </a:xfrm>
                    <a:prstGeom prst="rect">
                      <a:avLst/>
                    </a:prstGeom>
                  </pic:spPr>
                </pic:pic>
              </a:graphicData>
            </a:graphic>
          </wp:inline>
        </w:drawing>
      </w:r>
      <w:r w:rsidR="00C42CA7" w:rsidRPr="00C42CA7">
        <w:rPr>
          <w:rFonts w:cs="Times New Roman"/>
          <w:szCs w:val="24"/>
        </w:rPr>
        <w:t>Information exchange requirements. There are ten information exchange scenarios are identified among the project actors within the business use case. For instance</w:t>
      </w:r>
      <w:r w:rsidR="00EF5808">
        <w:rPr>
          <w:rFonts w:cs="Times New Roman"/>
          <w:szCs w:val="24"/>
        </w:rPr>
        <w:t>,</w:t>
      </w:r>
      <w:r w:rsidR="00C42CA7" w:rsidRPr="00C42CA7">
        <w:rPr>
          <w:rFonts w:cs="Times New Roman"/>
          <w:szCs w:val="24"/>
        </w:rPr>
        <w:t xml:space="preserve"> the ‘Architecture concept model - A_EM.1’ is required to be transferred from task [1.1] performed by the architect to task [1.2] by the engineer.</w:t>
      </w:r>
      <w:r w:rsidR="0051637F">
        <w:rPr>
          <w:rFonts w:cs="Times New Roman"/>
          <w:szCs w:val="24"/>
        </w:rPr>
        <w:t xml:space="preserve"> Theses ERs are </w:t>
      </w:r>
      <w:r w:rsidR="00934213">
        <w:rPr>
          <w:rFonts w:cs="Times New Roman"/>
          <w:szCs w:val="24"/>
        </w:rPr>
        <w:t xml:space="preserve">described in plain English (see an example in </w:t>
      </w:r>
      <w:r w:rsidR="0051637F">
        <w:rPr>
          <w:rFonts w:cs="Times New Roman"/>
          <w:szCs w:val="24"/>
        </w:rPr>
        <w:t>Figure 3) to explain what disciplines involves and generic required information.</w:t>
      </w:r>
      <w:r w:rsidR="00A33E56">
        <w:rPr>
          <w:rFonts w:cs="Times New Roman"/>
          <w:szCs w:val="24"/>
        </w:rPr>
        <w:t xml:space="preserve"> </w:t>
      </w:r>
    </w:p>
    <w:p w:rsidR="00B632E9" w:rsidRPr="00816939" w:rsidRDefault="00B632E9" w:rsidP="0050439E">
      <w:pPr>
        <w:jc w:val="both"/>
        <w:rPr>
          <w:rFonts w:cs="Times New Roman"/>
          <w:i/>
          <w:szCs w:val="24"/>
        </w:rPr>
      </w:pPr>
    </w:p>
    <w:p w:rsidR="00816939" w:rsidRDefault="00B632E9" w:rsidP="00B632E9">
      <w:pPr>
        <w:jc w:val="center"/>
        <w:rPr>
          <w:rFonts w:cs="Times New Roman"/>
          <w:szCs w:val="24"/>
        </w:rPr>
      </w:pPr>
      <w:r>
        <w:rPr>
          <w:noProof/>
        </w:rPr>
        <w:drawing>
          <wp:inline distT="0" distB="0" distL="0" distR="0" wp14:anchorId="0B93BC91" wp14:editId="3DB5CAF0">
            <wp:extent cx="5476875" cy="40485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8689" cy="4145993"/>
                    </a:xfrm>
                    <a:prstGeom prst="rect">
                      <a:avLst/>
                    </a:prstGeom>
                  </pic:spPr>
                </pic:pic>
              </a:graphicData>
            </a:graphic>
          </wp:inline>
        </w:drawing>
      </w:r>
    </w:p>
    <w:p w:rsidR="004D553C" w:rsidRPr="00C42CA7" w:rsidRDefault="003717A7" w:rsidP="00C42CA7">
      <w:pPr>
        <w:jc w:val="center"/>
        <w:rPr>
          <w:rFonts w:cs="Times New Roman"/>
          <w:szCs w:val="24"/>
        </w:rPr>
      </w:pPr>
      <w:r>
        <w:rPr>
          <w:rFonts w:cs="Times New Roman"/>
          <w:szCs w:val="24"/>
        </w:rPr>
        <w:t xml:space="preserve">Figure 1. Process map of </w:t>
      </w:r>
      <w:r w:rsidR="00E46382">
        <w:rPr>
          <w:rFonts w:cs="Times New Roman"/>
          <w:szCs w:val="24"/>
        </w:rPr>
        <w:t>the pre-construction phase</w:t>
      </w:r>
      <w:r>
        <w:rPr>
          <w:rFonts w:cs="Times New Roman"/>
          <w:szCs w:val="24"/>
        </w:rPr>
        <w:t xml:space="preserve"> </w:t>
      </w:r>
    </w:p>
    <w:p w:rsidR="00B632E9" w:rsidRDefault="00B632E9" w:rsidP="0050439E">
      <w:pPr>
        <w:jc w:val="both"/>
        <w:rPr>
          <w:rFonts w:cs="Times New Roman"/>
          <w:szCs w:val="24"/>
        </w:rPr>
      </w:pPr>
    </w:p>
    <w:p w:rsidR="00B632E9" w:rsidRDefault="003717A7" w:rsidP="009731F8">
      <w:pPr>
        <w:jc w:val="center"/>
        <w:rPr>
          <w:rFonts w:cs="Times New Roman"/>
          <w:szCs w:val="24"/>
        </w:rPr>
      </w:pPr>
      <w:r>
        <w:rPr>
          <w:noProof/>
        </w:rPr>
        <w:lastRenderedPageBreak/>
        <w:drawing>
          <wp:inline distT="0" distB="0" distL="0" distR="0" wp14:anchorId="6B894603" wp14:editId="0C4FD3A9">
            <wp:extent cx="5397500" cy="193429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8452"/>
                    <a:stretch/>
                  </pic:blipFill>
                  <pic:spPr bwMode="auto">
                    <a:xfrm>
                      <a:off x="0" y="0"/>
                      <a:ext cx="5499344" cy="1970797"/>
                    </a:xfrm>
                    <a:prstGeom prst="rect">
                      <a:avLst/>
                    </a:prstGeom>
                    <a:ln>
                      <a:noFill/>
                    </a:ln>
                    <a:extLst>
                      <a:ext uri="{53640926-AAD7-44D8-BBD7-CCE9431645EC}">
                        <a14:shadowObscured xmlns:a14="http://schemas.microsoft.com/office/drawing/2010/main"/>
                      </a:ext>
                    </a:extLst>
                  </pic:spPr>
                </pic:pic>
              </a:graphicData>
            </a:graphic>
          </wp:inline>
        </w:drawing>
      </w:r>
    </w:p>
    <w:p w:rsidR="00DC189D" w:rsidRDefault="00DC189D" w:rsidP="00DC189D">
      <w:pPr>
        <w:jc w:val="center"/>
        <w:rPr>
          <w:rFonts w:cs="Times New Roman"/>
          <w:szCs w:val="24"/>
        </w:rPr>
      </w:pPr>
      <w:r>
        <w:rPr>
          <w:rFonts w:cs="Times New Roman"/>
          <w:szCs w:val="24"/>
        </w:rPr>
        <w:t xml:space="preserve">Figure 2. </w:t>
      </w:r>
      <w:r w:rsidR="00C97F23">
        <w:rPr>
          <w:rFonts w:cs="Times New Roman"/>
          <w:szCs w:val="24"/>
        </w:rPr>
        <w:t>Excerpts of the t</w:t>
      </w:r>
      <w:r>
        <w:rPr>
          <w:rFonts w:cs="Times New Roman"/>
          <w:szCs w:val="24"/>
        </w:rPr>
        <w:t>ask description</w:t>
      </w:r>
      <w:r w:rsidR="00C97F23">
        <w:rPr>
          <w:rFonts w:cs="Times New Roman"/>
          <w:szCs w:val="24"/>
        </w:rPr>
        <w:t>s</w:t>
      </w:r>
    </w:p>
    <w:p w:rsidR="00DA0F75" w:rsidRDefault="00DA0F75" w:rsidP="00DA0F75">
      <w:pPr>
        <w:jc w:val="center"/>
        <w:rPr>
          <w:rFonts w:cs="Times New Roman"/>
          <w:szCs w:val="24"/>
        </w:rPr>
      </w:pPr>
      <w:r>
        <w:rPr>
          <w:noProof/>
        </w:rPr>
        <w:drawing>
          <wp:inline distT="0" distB="0" distL="0" distR="0" wp14:anchorId="55A99A7D" wp14:editId="39109B0A">
            <wp:extent cx="5296619" cy="17978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721"/>
                    <a:stretch/>
                  </pic:blipFill>
                  <pic:spPr bwMode="auto">
                    <a:xfrm>
                      <a:off x="0" y="0"/>
                      <a:ext cx="5418227" cy="1839144"/>
                    </a:xfrm>
                    <a:prstGeom prst="rect">
                      <a:avLst/>
                    </a:prstGeom>
                    <a:ln>
                      <a:noFill/>
                    </a:ln>
                    <a:extLst>
                      <a:ext uri="{53640926-AAD7-44D8-BBD7-CCE9431645EC}">
                        <a14:shadowObscured xmlns:a14="http://schemas.microsoft.com/office/drawing/2010/main"/>
                      </a:ext>
                    </a:extLst>
                  </pic:spPr>
                </pic:pic>
              </a:graphicData>
            </a:graphic>
          </wp:inline>
        </w:drawing>
      </w:r>
    </w:p>
    <w:p w:rsidR="00DA0F75" w:rsidRDefault="00DA0F75" w:rsidP="00DA0F75">
      <w:pPr>
        <w:jc w:val="center"/>
        <w:rPr>
          <w:rFonts w:cs="Times New Roman"/>
          <w:szCs w:val="24"/>
        </w:rPr>
      </w:pPr>
      <w:r>
        <w:rPr>
          <w:rFonts w:cs="Times New Roman"/>
          <w:szCs w:val="24"/>
        </w:rPr>
        <w:t xml:space="preserve">Figure 3. Excerpts of the </w:t>
      </w:r>
      <w:r w:rsidR="00257497">
        <w:rPr>
          <w:rFonts w:cs="Times New Roman"/>
          <w:szCs w:val="24"/>
        </w:rPr>
        <w:t>ER</w:t>
      </w:r>
      <w:r>
        <w:rPr>
          <w:rFonts w:cs="Times New Roman"/>
          <w:szCs w:val="24"/>
        </w:rPr>
        <w:t xml:space="preserve"> descriptions</w:t>
      </w:r>
    </w:p>
    <w:p w:rsidR="00DC189D" w:rsidRDefault="00DC189D" w:rsidP="0050439E">
      <w:pPr>
        <w:jc w:val="both"/>
        <w:rPr>
          <w:rFonts w:cs="Times New Roman"/>
          <w:szCs w:val="24"/>
        </w:rPr>
      </w:pPr>
    </w:p>
    <w:p w:rsidR="00B632E9" w:rsidRPr="007663D0" w:rsidRDefault="007A64A3" w:rsidP="0050439E">
      <w:pPr>
        <w:jc w:val="both"/>
        <w:rPr>
          <w:rFonts w:cs="Times New Roman"/>
          <w:i/>
          <w:szCs w:val="24"/>
        </w:rPr>
      </w:pPr>
      <w:r>
        <w:rPr>
          <w:rFonts w:cs="Times New Roman"/>
          <w:i/>
          <w:szCs w:val="24"/>
        </w:rPr>
        <w:t xml:space="preserve">Specifications of the </w:t>
      </w:r>
      <w:r w:rsidR="00B632E9" w:rsidRPr="007663D0">
        <w:rPr>
          <w:rFonts w:cs="Times New Roman"/>
          <w:i/>
          <w:szCs w:val="24"/>
        </w:rPr>
        <w:t xml:space="preserve">Exchange </w:t>
      </w:r>
      <w:r>
        <w:rPr>
          <w:rFonts w:cs="Times New Roman"/>
          <w:i/>
          <w:szCs w:val="24"/>
        </w:rPr>
        <w:t>R</w:t>
      </w:r>
      <w:r w:rsidR="0083356E">
        <w:rPr>
          <w:rFonts w:cs="Times New Roman"/>
          <w:i/>
          <w:szCs w:val="24"/>
        </w:rPr>
        <w:t>equirement</w:t>
      </w:r>
      <w:r>
        <w:rPr>
          <w:rFonts w:cs="Times New Roman"/>
          <w:i/>
          <w:szCs w:val="24"/>
        </w:rPr>
        <w:t>s</w:t>
      </w:r>
      <w:r w:rsidR="0083356E">
        <w:rPr>
          <w:rFonts w:cs="Times New Roman"/>
          <w:i/>
          <w:szCs w:val="24"/>
        </w:rPr>
        <w:t xml:space="preserve"> (ER</w:t>
      </w:r>
      <w:r>
        <w:rPr>
          <w:rFonts w:cs="Times New Roman"/>
          <w:i/>
          <w:szCs w:val="24"/>
        </w:rPr>
        <w:t>s</w:t>
      </w:r>
      <w:r w:rsidR="0083356E">
        <w:rPr>
          <w:rFonts w:cs="Times New Roman"/>
          <w:i/>
          <w:szCs w:val="24"/>
        </w:rPr>
        <w:t xml:space="preserve">) </w:t>
      </w:r>
    </w:p>
    <w:p w:rsidR="00B632E9" w:rsidRDefault="00F439B5" w:rsidP="0050439E">
      <w:pPr>
        <w:jc w:val="both"/>
        <w:rPr>
          <w:rFonts w:cs="Times New Roman"/>
          <w:szCs w:val="24"/>
        </w:rPr>
      </w:pPr>
      <w:r>
        <w:rPr>
          <w:rFonts w:cs="Times New Roman"/>
          <w:szCs w:val="24"/>
        </w:rPr>
        <w:t xml:space="preserve">Figure </w:t>
      </w:r>
      <w:r w:rsidR="00DA0F75">
        <w:rPr>
          <w:rFonts w:cs="Times New Roman"/>
          <w:szCs w:val="24"/>
        </w:rPr>
        <w:t>4</w:t>
      </w:r>
      <w:r>
        <w:rPr>
          <w:rFonts w:cs="Times New Roman"/>
          <w:szCs w:val="24"/>
        </w:rPr>
        <w:t xml:space="preserve"> shows a portio</w:t>
      </w:r>
      <w:r w:rsidR="00826E98">
        <w:rPr>
          <w:rFonts w:cs="Times New Roman"/>
          <w:szCs w:val="24"/>
        </w:rPr>
        <w:t>n of the ER specification</w:t>
      </w:r>
      <w:r w:rsidR="003B5E24">
        <w:rPr>
          <w:rFonts w:cs="Times New Roman"/>
          <w:szCs w:val="24"/>
        </w:rPr>
        <w:t>s</w:t>
      </w:r>
      <w:r>
        <w:rPr>
          <w:rFonts w:cs="Times New Roman"/>
          <w:szCs w:val="24"/>
        </w:rPr>
        <w:t xml:space="preserve"> which clearly describe the required and optional data entities and attributes for the</w:t>
      </w:r>
      <w:r w:rsidR="00826E98">
        <w:rPr>
          <w:rFonts w:cs="Times New Roman"/>
          <w:szCs w:val="24"/>
        </w:rPr>
        <w:t xml:space="preserve"> corresponding</w:t>
      </w:r>
      <w:r>
        <w:rPr>
          <w:rFonts w:cs="Times New Roman"/>
          <w:szCs w:val="24"/>
        </w:rPr>
        <w:t xml:space="preserve"> ER</w:t>
      </w:r>
      <w:r w:rsidR="003B5E24">
        <w:rPr>
          <w:rFonts w:cs="Times New Roman"/>
          <w:szCs w:val="24"/>
        </w:rPr>
        <w:t>s</w:t>
      </w:r>
      <w:r>
        <w:rPr>
          <w:rFonts w:cs="Times New Roman"/>
          <w:szCs w:val="24"/>
        </w:rPr>
        <w:t xml:space="preserve"> in the process map. </w:t>
      </w:r>
      <w:r w:rsidR="0016125B">
        <w:rPr>
          <w:rFonts w:cs="Times New Roman"/>
          <w:szCs w:val="24"/>
        </w:rPr>
        <w:t>The ER specif</w:t>
      </w:r>
      <w:r w:rsidR="004A6556">
        <w:rPr>
          <w:rFonts w:cs="Times New Roman"/>
          <w:szCs w:val="24"/>
        </w:rPr>
        <w:t>ications are presented as a two-</w:t>
      </w:r>
      <w:r w:rsidR="0016125B">
        <w:rPr>
          <w:rFonts w:cs="Times New Roman"/>
          <w:szCs w:val="24"/>
        </w:rPr>
        <w:t xml:space="preserve">dimensional matrix. The columns (with </w:t>
      </w:r>
      <w:r w:rsidR="00010625">
        <w:rPr>
          <w:rFonts w:cs="Times New Roman"/>
          <w:szCs w:val="24"/>
        </w:rPr>
        <w:t>no color) in the left side list</w:t>
      </w:r>
      <w:r w:rsidR="0016125B">
        <w:rPr>
          <w:rFonts w:cs="Times New Roman"/>
          <w:szCs w:val="24"/>
        </w:rPr>
        <w:t xml:space="preserve"> all the data entities and attributes generated throughout the identified </w:t>
      </w:r>
      <w:r w:rsidR="00010625">
        <w:rPr>
          <w:rFonts w:cs="Times New Roman"/>
          <w:szCs w:val="24"/>
        </w:rPr>
        <w:t>workflow</w:t>
      </w:r>
      <w:r w:rsidR="0016125B">
        <w:rPr>
          <w:rFonts w:cs="Times New Roman"/>
          <w:szCs w:val="24"/>
        </w:rPr>
        <w:t xml:space="preserve">, and the heading row of the colored area shows the exchange scenarios. </w:t>
      </w:r>
      <w:r w:rsidR="00D32851">
        <w:rPr>
          <w:rFonts w:cs="Times New Roman"/>
          <w:szCs w:val="24"/>
        </w:rPr>
        <w:t xml:space="preserve">The values of </w:t>
      </w:r>
      <w:r w:rsidR="00495E6E">
        <w:rPr>
          <w:rFonts w:cs="Times New Roman"/>
          <w:szCs w:val="24"/>
        </w:rPr>
        <w:t xml:space="preserve">the </w:t>
      </w:r>
      <w:r w:rsidR="00D32851">
        <w:rPr>
          <w:rFonts w:cs="Times New Roman"/>
          <w:szCs w:val="24"/>
        </w:rPr>
        <w:t>cells</w:t>
      </w:r>
      <w:r w:rsidR="00957085" w:rsidRPr="00957085">
        <w:rPr>
          <w:rFonts w:cs="Times New Roman"/>
          <w:szCs w:val="24"/>
        </w:rPr>
        <w:t xml:space="preserve"> </w:t>
      </w:r>
      <w:r w:rsidR="00957085">
        <w:rPr>
          <w:rFonts w:cs="Times New Roman"/>
          <w:szCs w:val="24"/>
        </w:rPr>
        <w:t>intersecting</w:t>
      </w:r>
      <w:r w:rsidR="00D32851">
        <w:rPr>
          <w:rFonts w:cs="Times New Roman"/>
          <w:szCs w:val="24"/>
        </w:rPr>
        <w:t xml:space="preserve"> between an attribute row and an</w:t>
      </w:r>
      <w:r w:rsidR="00160646">
        <w:rPr>
          <w:rFonts w:cs="Times New Roman"/>
          <w:szCs w:val="24"/>
        </w:rPr>
        <w:t xml:space="preserve"> ER column represents</w:t>
      </w:r>
      <w:r w:rsidR="00D32851">
        <w:rPr>
          <w:rFonts w:cs="Times New Roman"/>
          <w:szCs w:val="24"/>
        </w:rPr>
        <w:t xml:space="preserve"> the necessity</w:t>
      </w:r>
      <w:r w:rsidR="00160646">
        <w:rPr>
          <w:rFonts w:cs="Times New Roman"/>
          <w:szCs w:val="24"/>
        </w:rPr>
        <w:t xml:space="preserve"> and</w:t>
      </w:r>
      <w:r w:rsidR="00D32851">
        <w:rPr>
          <w:rFonts w:cs="Times New Roman"/>
          <w:szCs w:val="24"/>
        </w:rPr>
        <w:t xml:space="preserve"> accuracy</w:t>
      </w:r>
      <w:r w:rsidR="00160646">
        <w:rPr>
          <w:rFonts w:cs="Times New Roman"/>
          <w:szCs w:val="24"/>
        </w:rPr>
        <w:t xml:space="preserve"> of the data attribute</w:t>
      </w:r>
      <w:r w:rsidR="00567C07">
        <w:rPr>
          <w:rFonts w:cs="Times New Roman"/>
          <w:szCs w:val="24"/>
        </w:rPr>
        <w:t xml:space="preserve"> in </w:t>
      </w:r>
      <w:r w:rsidR="008B52BA">
        <w:rPr>
          <w:rFonts w:cs="Times New Roman"/>
          <w:szCs w:val="24"/>
        </w:rPr>
        <w:t xml:space="preserve">the </w:t>
      </w:r>
      <w:r w:rsidR="005E11CB">
        <w:rPr>
          <w:rFonts w:cs="Times New Roman"/>
          <w:szCs w:val="24"/>
        </w:rPr>
        <w:t xml:space="preserve">corresponding </w:t>
      </w:r>
      <w:r w:rsidR="008B52BA">
        <w:rPr>
          <w:rFonts w:cs="Times New Roman"/>
          <w:szCs w:val="24"/>
        </w:rPr>
        <w:t>exchange requirement</w:t>
      </w:r>
      <w:r w:rsidR="00D32851">
        <w:rPr>
          <w:rFonts w:cs="Times New Roman"/>
          <w:szCs w:val="24"/>
        </w:rPr>
        <w:t xml:space="preserve">.  </w:t>
      </w:r>
      <w:r w:rsidR="00561C8F">
        <w:rPr>
          <w:rFonts w:cs="Times New Roman"/>
          <w:szCs w:val="24"/>
        </w:rPr>
        <w:t>For example, the A_EM.1 exchange dataset (the first ER column in Figure 3) must include the following data attributes: ‘user occupancy’, ‘Located on site’, ‘systems’, etc.</w:t>
      </w:r>
    </w:p>
    <w:p w:rsidR="00FE0884" w:rsidRDefault="0083356E" w:rsidP="00A02C87">
      <w:pPr>
        <w:jc w:val="center"/>
        <w:rPr>
          <w:rFonts w:cs="Times New Roman"/>
          <w:szCs w:val="24"/>
        </w:rPr>
      </w:pPr>
      <w:r>
        <w:rPr>
          <w:noProof/>
        </w:rPr>
        <w:lastRenderedPageBreak/>
        <w:drawing>
          <wp:inline distT="0" distB="0" distL="0" distR="0" wp14:anchorId="31EDD90D" wp14:editId="018F58B4">
            <wp:extent cx="5147953" cy="416566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4695" cy="4187300"/>
                    </a:xfrm>
                    <a:prstGeom prst="rect">
                      <a:avLst/>
                    </a:prstGeom>
                  </pic:spPr>
                </pic:pic>
              </a:graphicData>
            </a:graphic>
          </wp:inline>
        </w:drawing>
      </w:r>
    </w:p>
    <w:p w:rsidR="0083356E" w:rsidRDefault="0083356E" w:rsidP="00D64C27">
      <w:pPr>
        <w:jc w:val="center"/>
        <w:rPr>
          <w:rFonts w:cs="Times New Roman"/>
          <w:szCs w:val="24"/>
        </w:rPr>
      </w:pPr>
      <w:r>
        <w:rPr>
          <w:rFonts w:cs="Times New Roman"/>
          <w:szCs w:val="24"/>
        </w:rPr>
        <w:t xml:space="preserve">Figure </w:t>
      </w:r>
      <w:r w:rsidR="00DA0F75">
        <w:rPr>
          <w:rFonts w:cs="Times New Roman"/>
          <w:szCs w:val="24"/>
        </w:rPr>
        <w:t>4</w:t>
      </w:r>
      <w:r>
        <w:rPr>
          <w:rFonts w:cs="Times New Roman"/>
          <w:szCs w:val="24"/>
        </w:rPr>
        <w:t xml:space="preserve">. </w:t>
      </w:r>
      <w:r w:rsidR="00D946FF">
        <w:rPr>
          <w:rFonts w:cs="Times New Roman"/>
          <w:szCs w:val="24"/>
        </w:rPr>
        <w:t>Data entities and attributes of the ERs</w:t>
      </w:r>
      <w:r w:rsidR="00E2051C">
        <w:rPr>
          <w:rFonts w:cs="Times New Roman"/>
          <w:szCs w:val="24"/>
        </w:rPr>
        <w:br/>
      </w:r>
      <w:r w:rsidR="00D9799E">
        <w:rPr>
          <w:rFonts w:cs="Times New Roman"/>
          <w:szCs w:val="24"/>
        </w:rPr>
        <w:t xml:space="preserve"> (notes: ‘O’ and ‘R’ denote ‘optional’ and ‘required’</w:t>
      </w:r>
      <w:r w:rsidR="00D64C27">
        <w:rPr>
          <w:rFonts w:cs="Times New Roman"/>
          <w:szCs w:val="24"/>
        </w:rPr>
        <w:t>; ‘P’, “C” are ‘planar’</w:t>
      </w:r>
      <w:r w:rsidR="00770255">
        <w:rPr>
          <w:rFonts w:cs="Times New Roman"/>
          <w:szCs w:val="24"/>
        </w:rPr>
        <w:t xml:space="preserve"> </w:t>
      </w:r>
      <w:r w:rsidR="00D64C27">
        <w:rPr>
          <w:rFonts w:cs="Times New Roman"/>
          <w:szCs w:val="24"/>
        </w:rPr>
        <w:t>and ‘curved’</w:t>
      </w:r>
      <w:r w:rsidR="00D9799E">
        <w:rPr>
          <w:rFonts w:cs="Times New Roman"/>
          <w:szCs w:val="24"/>
        </w:rPr>
        <w:t>)</w:t>
      </w:r>
    </w:p>
    <w:p w:rsidR="0083356E" w:rsidRDefault="0083356E" w:rsidP="0050439E">
      <w:pPr>
        <w:jc w:val="both"/>
        <w:rPr>
          <w:rFonts w:cs="Times New Roman"/>
          <w:szCs w:val="24"/>
        </w:rPr>
      </w:pPr>
    </w:p>
    <w:p w:rsidR="00995105" w:rsidRPr="00995105" w:rsidRDefault="00995105" w:rsidP="0050439E">
      <w:pPr>
        <w:jc w:val="both"/>
        <w:rPr>
          <w:rFonts w:cs="Times New Roman"/>
          <w:b/>
          <w:szCs w:val="24"/>
        </w:rPr>
      </w:pPr>
      <w:r w:rsidRPr="00995105">
        <w:rPr>
          <w:rFonts w:cs="Times New Roman"/>
          <w:b/>
          <w:szCs w:val="24"/>
        </w:rPr>
        <w:t>References</w:t>
      </w:r>
    </w:p>
    <w:p w:rsidR="00202DF9" w:rsidRPr="00995105" w:rsidRDefault="00202DF9" w:rsidP="0050439E">
      <w:pPr>
        <w:jc w:val="both"/>
        <w:rPr>
          <w:rFonts w:cs="Times New Roman"/>
          <w:szCs w:val="24"/>
        </w:rPr>
      </w:pPr>
    </w:p>
    <w:p w:rsidR="003849F8" w:rsidRDefault="00202DF9" w:rsidP="003849F8">
      <w:pPr>
        <w:ind w:left="720" w:hanging="720"/>
        <w:jc w:val="both"/>
        <w:rPr>
          <w:rFonts w:cs="Times New Roman"/>
          <w:noProof/>
          <w:szCs w:val="24"/>
        </w:rPr>
      </w:pPr>
      <w:r w:rsidRPr="0020524A">
        <w:rPr>
          <w:rFonts w:cs="Times New Roman"/>
          <w:szCs w:val="24"/>
        </w:rPr>
        <w:fldChar w:fldCharType="begin"/>
      </w:r>
      <w:r w:rsidRPr="0020524A">
        <w:rPr>
          <w:rFonts w:cs="Times New Roman"/>
          <w:szCs w:val="24"/>
        </w:rPr>
        <w:instrText xml:space="preserve"> ADDIN EN.REFLIST </w:instrText>
      </w:r>
      <w:r w:rsidRPr="0020524A">
        <w:rPr>
          <w:rFonts w:cs="Times New Roman"/>
          <w:szCs w:val="24"/>
        </w:rPr>
        <w:fldChar w:fldCharType="separate"/>
      </w:r>
      <w:bookmarkStart w:id="1" w:name="_ENREF_1"/>
      <w:r w:rsidR="003849F8">
        <w:rPr>
          <w:rFonts w:cs="Times New Roman"/>
          <w:noProof/>
          <w:szCs w:val="24"/>
        </w:rPr>
        <w:t xml:space="preserve">Eastman, C., Jeong, Y., Sacks, R., &amp; Kaner, I. (2009). Exchange Model and Exchange Object Concepts for Implementation of National BIM Standards. </w:t>
      </w:r>
      <w:r w:rsidR="003849F8" w:rsidRPr="003849F8">
        <w:rPr>
          <w:rFonts w:cs="Times New Roman"/>
          <w:i/>
          <w:noProof/>
          <w:szCs w:val="24"/>
        </w:rPr>
        <w:t>Journal of Computing in Civil Engineering, 24</w:t>
      </w:r>
      <w:r w:rsidR="003849F8">
        <w:rPr>
          <w:rFonts w:cs="Times New Roman"/>
          <w:noProof/>
          <w:szCs w:val="24"/>
        </w:rPr>
        <w:t>(1), 25-34. doi: 10.1061/(ASCE)0887-3801(2010)24:1(25)</w:t>
      </w:r>
      <w:bookmarkEnd w:id="1"/>
    </w:p>
    <w:p w:rsidR="003849F8" w:rsidRDefault="003849F8" w:rsidP="003849F8">
      <w:pPr>
        <w:ind w:left="720" w:hanging="720"/>
        <w:jc w:val="both"/>
        <w:rPr>
          <w:rFonts w:cs="Times New Roman"/>
          <w:noProof/>
          <w:szCs w:val="24"/>
        </w:rPr>
      </w:pPr>
      <w:bookmarkStart w:id="2" w:name="_ENREF_2"/>
      <w:r>
        <w:rPr>
          <w:rFonts w:cs="Times New Roman"/>
          <w:noProof/>
          <w:szCs w:val="24"/>
        </w:rPr>
        <w:t xml:space="preserve">Eastman, C., Sacks, R., Panushev, I., Aram, V., &amp; Yagmur, E. (2009). Information delivery manual for precast concrete. </w:t>
      </w:r>
      <w:r w:rsidRPr="003849F8">
        <w:rPr>
          <w:rFonts w:cs="Times New Roman"/>
          <w:i/>
          <w:noProof/>
          <w:szCs w:val="24"/>
        </w:rPr>
        <w:t xml:space="preserve">PCI-Charles Pankow Foundation. </w:t>
      </w:r>
      <w:hyperlink r:id="rId13" w:history="1">
        <w:r w:rsidRPr="003849F8">
          <w:rPr>
            <w:rStyle w:val="Hyperlink"/>
            <w:rFonts w:cs="Times New Roman"/>
            <w:i/>
            <w:noProof/>
            <w:szCs w:val="24"/>
          </w:rPr>
          <w:t>http://dcom</w:t>
        </w:r>
      </w:hyperlink>
      <w:r w:rsidRPr="003849F8">
        <w:rPr>
          <w:rFonts w:cs="Times New Roman"/>
          <w:i/>
          <w:noProof/>
          <w:szCs w:val="24"/>
        </w:rPr>
        <w:t>. arch. gatech. edu/pcibim/documents/IDM_for_Precast. pdf (last accessed on 6/20/2010)</w:t>
      </w:r>
      <w:r>
        <w:rPr>
          <w:rFonts w:cs="Times New Roman"/>
          <w:noProof/>
          <w:szCs w:val="24"/>
        </w:rPr>
        <w:t xml:space="preserve">. </w:t>
      </w:r>
      <w:bookmarkEnd w:id="2"/>
    </w:p>
    <w:p w:rsidR="003849F8" w:rsidRDefault="003849F8" w:rsidP="003849F8">
      <w:pPr>
        <w:ind w:left="720" w:hanging="720"/>
        <w:jc w:val="both"/>
        <w:rPr>
          <w:rFonts w:cs="Times New Roman"/>
          <w:noProof/>
          <w:szCs w:val="24"/>
        </w:rPr>
      </w:pPr>
      <w:bookmarkStart w:id="3" w:name="_ENREF_3"/>
      <w:r>
        <w:rPr>
          <w:rFonts w:cs="Times New Roman"/>
          <w:noProof/>
          <w:szCs w:val="24"/>
        </w:rPr>
        <w:t>National Institute of Building Sciences. (2007). United States National Builing Information Modeling Standard- Version 1 - Part 1: Overview, Principles, and Methodologies.</w:t>
      </w:r>
      <w:bookmarkEnd w:id="3"/>
    </w:p>
    <w:p w:rsidR="003849F8" w:rsidRDefault="003849F8" w:rsidP="003849F8">
      <w:pPr>
        <w:jc w:val="both"/>
        <w:rPr>
          <w:rFonts w:cs="Times New Roman"/>
          <w:noProof/>
          <w:szCs w:val="24"/>
        </w:rPr>
      </w:pPr>
    </w:p>
    <w:p w:rsidR="004B2A1B" w:rsidRPr="00FE708E" w:rsidRDefault="00202DF9" w:rsidP="0050439E">
      <w:pPr>
        <w:jc w:val="both"/>
        <w:rPr>
          <w:rFonts w:cs="Times New Roman"/>
          <w:b/>
          <w:szCs w:val="24"/>
        </w:rPr>
      </w:pPr>
      <w:r w:rsidRPr="0020524A">
        <w:rPr>
          <w:rFonts w:cs="Times New Roman"/>
          <w:szCs w:val="24"/>
        </w:rPr>
        <w:fldChar w:fldCharType="end"/>
      </w:r>
    </w:p>
    <w:sectPr w:rsidR="004B2A1B" w:rsidRPr="00FE708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0A3" w:rsidRDefault="00B100A3" w:rsidP="002A4248">
      <w:r>
        <w:separator/>
      </w:r>
    </w:p>
  </w:endnote>
  <w:endnote w:type="continuationSeparator" w:id="0">
    <w:p w:rsidR="00B100A3" w:rsidRDefault="00B100A3" w:rsidP="002A4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0596310"/>
      <w:docPartObj>
        <w:docPartGallery w:val="Page Numbers (Bottom of Page)"/>
        <w:docPartUnique/>
      </w:docPartObj>
    </w:sdtPr>
    <w:sdtEndPr>
      <w:rPr>
        <w:noProof/>
      </w:rPr>
    </w:sdtEndPr>
    <w:sdtContent>
      <w:p w:rsidR="002A4248" w:rsidRDefault="002A4248">
        <w:pPr>
          <w:pStyle w:val="Footer"/>
          <w:jc w:val="center"/>
        </w:pPr>
        <w:r>
          <w:fldChar w:fldCharType="begin"/>
        </w:r>
        <w:r>
          <w:instrText xml:space="preserve"> PAGE   \* MERGEFORMAT </w:instrText>
        </w:r>
        <w:r>
          <w:fldChar w:fldCharType="separate"/>
        </w:r>
        <w:r w:rsidR="00AE78C8">
          <w:rPr>
            <w:noProof/>
          </w:rPr>
          <w:t>2</w:t>
        </w:r>
        <w:r>
          <w:rPr>
            <w:noProof/>
          </w:rPr>
          <w:fldChar w:fldCharType="end"/>
        </w:r>
      </w:p>
    </w:sdtContent>
  </w:sdt>
  <w:p w:rsidR="002A4248" w:rsidRDefault="002A42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0A3" w:rsidRDefault="00B100A3" w:rsidP="002A4248">
      <w:r>
        <w:separator/>
      </w:r>
    </w:p>
  </w:footnote>
  <w:footnote w:type="continuationSeparator" w:id="0">
    <w:p w:rsidR="00B100A3" w:rsidRDefault="00B100A3" w:rsidP="002A42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248" w:rsidRDefault="002A4248">
    <w:pPr>
      <w:pStyle w:val="Header"/>
      <w:jc w:val="center"/>
    </w:pPr>
  </w:p>
  <w:p w:rsidR="002A4248" w:rsidRDefault="002A42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0210D"/>
    <w:multiLevelType w:val="hybridMultilevel"/>
    <w:tmpl w:val="93082F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86B22"/>
    <w:multiLevelType w:val="hybridMultilevel"/>
    <w:tmpl w:val="712A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B5A02"/>
    <w:multiLevelType w:val="hybridMultilevel"/>
    <w:tmpl w:val="9A5E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06D26"/>
    <w:multiLevelType w:val="hybridMultilevel"/>
    <w:tmpl w:val="3E1A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34A5A"/>
    <w:multiLevelType w:val="hybridMultilevel"/>
    <w:tmpl w:val="38CC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8C4C66"/>
    <w:multiLevelType w:val="hybridMultilevel"/>
    <w:tmpl w:val="4E3E2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A1NjC0NDI2srA0M7VQ0lEKTi0uzszPAykwrQUAYg6axSwAAAA="/>
    <w:docVar w:name="EN.InstantFormat" w:val="&lt;ENInstantFormat&gt;&lt;Enabled&gt;1&lt;/Enabled&gt;&lt;ScanUnformatted&gt;1&lt;/ScanUnformatted&gt;&lt;ScanChanges&gt;1&lt;/ScanChanges&gt;&lt;Suspended&gt;0&lt;/Suspended&gt;&lt;/ENInstantFormat&gt;"/>
    <w:docVar w:name="EN.Layout" w:val="&lt;ENLayout&gt;&lt;Style&gt;APA 6t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x22awww1fsvziezd5b5xdxopvts0v0fe0zp&quot;&gt;References.112514&lt;record-ids&gt;&lt;item&gt;600&lt;/item&gt;&lt;item&gt;1569&lt;/item&gt;&lt;item&gt;1583&lt;/item&gt;&lt;/record-ids&gt;&lt;/item&gt;&lt;/Libraries&gt;"/>
  </w:docVars>
  <w:rsids>
    <w:rsidRoot w:val="00943903"/>
    <w:rsid w:val="00010625"/>
    <w:rsid w:val="00012F59"/>
    <w:rsid w:val="00045952"/>
    <w:rsid w:val="00047D21"/>
    <w:rsid w:val="000507B6"/>
    <w:rsid w:val="0005235E"/>
    <w:rsid w:val="00054094"/>
    <w:rsid w:val="00064094"/>
    <w:rsid w:val="00076AC0"/>
    <w:rsid w:val="00086FA6"/>
    <w:rsid w:val="0009658D"/>
    <w:rsid w:val="000B4EB3"/>
    <w:rsid w:val="000D1A7B"/>
    <w:rsid w:val="000E584C"/>
    <w:rsid w:val="000F321C"/>
    <w:rsid w:val="0010069C"/>
    <w:rsid w:val="00100A91"/>
    <w:rsid w:val="00105BED"/>
    <w:rsid w:val="00107780"/>
    <w:rsid w:val="00116FC8"/>
    <w:rsid w:val="00132765"/>
    <w:rsid w:val="00135F7C"/>
    <w:rsid w:val="00137112"/>
    <w:rsid w:val="0013789F"/>
    <w:rsid w:val="00160646"/>
    <w:rsid w:val="00160AF9"/>
    <w:rsid w:val="0016125B"/>
    <w:rsid w:val="001648EE"/>
    <w:rsid w:val="00164CD7"/>
    <w:rsid w:val="00171990"/>
    <w:rsid w:val="00172D44"/>
    <w:rsid w:val="001811D1"/>
    <w:rsid w:val="001A03AC"/>
    <w:rsid w:val="001B7508"/>
    <w:rsid w:val="001C3BC1"/>
    <w:rsid w:val="001D28C7"/>
    <w:rsid w:val="001F264A"/>
    <w:rsid w:val="00202DF9"/>
    <w:rsid w:val="00203717"/>
    <w:rsid w:val="0020524A"/>
    <w:rsid w:val="002157F2"/>
    <w:rsid w:val="0022405E"/>
    <w:rsid w:val="00230902"/>
    <w:rsid w:val="00234B6E"/>
    <w:rsid w:val="00257497"/>
    <w:rsid w:val="0026020E"/>
    <w:rsid w:val="002648CD"/>
    <w:rsid w:val="002842A8"/>
    <w:rsid w:val="00294292"/>
    <w:rsid w:val="00294F35"/>
    <w:rsid w:val="00295A85"/>
    <w:rsid w:val="002A1378"/>
    <w:rsid w:val="002A4248"/>
    <w:rsid w:val="002D7AA6"/>
    <w:rsid w:val="002E128E"/>
    <w:rsid w:val="002F5C67"/>
    <w:rsid w:val="003012B6"/>
    <w:rsid w:val="00303BDE"/>
    <w:rsid w:val="00307934"/>
    <w:rsid w:val="003158DF"/>
    <w:rsid w:val="0033330D"/>
    <w:rsid w:val="003551C9"/>
    <w:rsid w:val="00361F09"/>
    <w:rsid w:val="003717A7"/>
    <w:rsid w:val="003849F8"/>
    <w:rsid w:val="00385184"/>
    <w:rsid w:val="003A1E0C"/>
    <w:rsid w:val="003B5E24"/>
    <w:rsid w:val="003C2F06"/>
    <w:rsid w:val="003C3266"/>
    <w:rsid w:val="003C37A3"/>
    <w:rsid w:val="003C51AE"/>
    <w:rsid w:val="003C6BFD"/>
    <w:rsid w:val="003D5F4C"/>
    <w:rsid w:val="003F0E65"/>
    <w:rsid w:val="003F7BB7"/>
    <w:rsid w:val="00401A3C"/>
    <w:rsid w:val="004056FA"/>
    <w:rsid w:val="0041117F"/>
    <w:rsid w:val="00411A97"/>
    <w:rsid w:val="0041338F"/>
    <w:rsid w:val="00425130"/>
    <w:rsid w:val="00425203"/>
    <w:rsid w:val="004424E5"/>
    <w:rsid w:val="0046134B"/>
    <w:rsid w:val="00466DFC"/>
    <w:rsid w:val="00473594"/>
    <w:rsid w:val="0048511A"/>
    <w:rsid w:val="00492394"/>
    <w:rsid w:val="00495E6E"/>
    <w:rsid w:val="0049670C"/>
    <w:rsid w:val="00496BAA"/>
    <w:rsid w:val="004A6556"/>
    <w:rsid w:val="004B23B0"/>
    <w:rsid w:val="004B2A1B"/>
    <w:rsid w:val="004C4194"/>
    <w:rsid w:val="004C6E3B"/>
    <w:rsid w:val="004C7547"/>
    <w:rsid w:val="004D553C"/>
    <w:rsid w:val="004E15F3"/>
    <w:rsid w:val="004F3CD6"/>
    <w:rsid w:val="00500274"/>
    <w:rsid w:val="005007AD"/>
    <w:rsid w:val="0050439E"/>
    <w:rsid w:val="0051637F"/>
    <w:rsid w:val="005265D2"/>
    <w:rsid w:val="00537521"/>
    <w:rsid w:val="0054173F"/>
    <w:rsid w:val="005471DA"/>
    <w:rsid w:val="005515C3"/>
    <w:rsid w:val="00561C8F"/>
    <w:rsid w:val="00566191"/>
    <w:rsid w:val="00567C07"/>
    <w:rsid w:val="005935F1"/>
    <w:rsid w:val="005B3856"/>
    <w:rsid w:val="005D1C9D"/>
    <w:rsid w:val="005E11CB"/>
    <w:rsid w:val="005F7C0F"/>
    <w:rsid w:val="006150AF"/>
    <w:rsid w:val="0061719F"/>
    <w:rsid w:val="00617590"/>
    <w:rsid w:val="00634668"/>
    <w:rsid w:val="006430D2"/>
    <w:rsid w:val="00651F19"/>
    <w:rsid w:val="00656439"/>
    <w:rsid w:val="0068730E"/>
    <w:rsid w:val="006B17E4"/>
    <w:rsid w:val="006D2539"/>
    <w:rsid w:val="006E39F6"/>
    <w:rsid w:val="006F6B05"/>
    <w:rsid w:val="00707AD0"/>
    <w:rsid w:val="007162E9"/>
    <w:rsid w:val="00717688"/>
    <w:rsid w:val="007410FA"/>
    <w:rsid w:val="00752C44"/>
    <w:rsid w:val="007561BB"/>
    <w:rsid w:val="00764ACF"/>
    <w:rsid w:val="007663D0"/>
    <w:rsid w:val="00770255"/>
    <w:rsid w:val="00783EF9"/>
    <w:rsid w:val="007A13B6"/>
    <w:rsid w:val="007A64A3"/>
    <w:rsid w:val="007E1EC8"/>
    <w:rsid w:val="007F2EE8"/>
    <w:rsid w:val="00802C98"/>
    <w:rsid w:val="0080588D"/>
    <w:rsid w:val="008109D9"/>
    <w:rsid w:val="00816939"/>
    <w:rsid w:val="00817FA0"/>
    <w:rsid w:val="00821DB4"/>
    <w:rsid w:val="00826E98"/>
    <w:rsid w:val="0083356E"/>
    <w:rsid w:val="008740E6"/>
    <w:rsid w:val="00887C01"/>
    <w:rsid w:val="008B4B3B"/>
    <w:rsid w:val="008B52BA"/>
    <w:rsid w:val="008C5C0D"/>
    <w:rsid w:val="008E118C"/>
    <w:rsid w:val="008E5AAF"/>
    <w:rsid w:val="008F0D37"/>
    <w:rsid w:val="0091324C"/>
    <w:rsid w:val="009152A6"/>
    <w:rsid w:val="00934213"/>
    <w:rsid w:val="00943903"/>
    <w:rsid w:val="00954B73"/>
    <w:rsid w:val="00957085"/>
    <w:rsid w:val="00957D40"/>
    <w:rsid w:val="009717EC"/>
    <w:rsid w:val="009731F8"/>
    <w:rsid w:val="0099285E"/>
    <w:rsid w:val="00995105"/>
    <w:rsid w:val="00997B0C"/>
    <w:rsid w:val="009A5C67"/>
    <w:rsid w:val="009B08AC"/>
    <w:rsid w:val="009C30BD"/>
    <w:rsid w:val="009E6957"/>
    <w:rsid w:val="009F09FC"/>
    <w:rsid w:val="00A02C87"/>
    <w:rsid w:val="00A17210"/>
    <w:rsid w:val="00A31D09"/>
    <w:rsid w:val="00A3232F"/>
    <w:rsid w:val="00A33E56"/>
    <w:rsid w:val="00A4059E"/>
    <w:rsid w:val="00A4260A"/>
    <w:rsid w:val="00A42AD9"/>
    <w:rsid w:val="00A66C3B"/>
    <w:rsid w:val="00A7036E"/>
    <w:rsid w:val="00A70729"/>
    <w:rsid w:val="00A9194B"/>
    <w:rsid w:val="00A94DDA"/>
    <w:rsid w:val="00AA73E1"/>
    <w:rsid w:val="00AA76AB"/>
    <w:rsid w:val="00AB2D6A"/>
    <w:rsid w:val="00AC0927"/>
    <w:rsid w:val="00AE78C8"/>
    <w:rsid w:val="00AF2AAB"/>
    <w:rsid w:val="00B047D0"/>
    <w:rsid w:val="00B06E1D"/>
    <w:rsid w:val="00B070AC"/>
    <w:rsid w:val="00B100A3"/>
    <w:rsid w:val="00B14373"/>
    <w:rsid w:val="00B26CBC"/>
    <w:rsid w:val="00B27479"/>
    <w:rsid w:val="00B361BE"/>
    <w:rsid w:val="00B516BE"/>
    <w:rsid w:val="00B57EAE"/>
    <w:rsid w:val="00B632E9"/>
    <w:rsid w:val="00B6689E"/>
    <w:rsid w:val="00B94C8D"/>
    <w:rsid w:val="00BD5E8C"/>
    <w:rsid w:val="00BE176C"/>
    <w:rsid w:val="00C02373"/>
    <w:rsid w:val="00C13D56"/>
    <w:rsid w:val="00C269C3"/>
    <w:rsid w:val="00C34896"/>
    <w:rsid w:val="00C42CA7"/>
    <w:rsid w:val="00C4387C"/>
    <w:rsid w:val="00C5489A"/>
    <w:rsid w:val="00C902AE"/>
    <w:rsid w:val="00C9305B"/>
    <w:rsid w:val="00C97DBE"/>
    <w:rsid w:val="00C97F23"/>
    <w:rsid w:val="00CA0AC6"/>
    <w:rsid w:val="00CA29EE"/>
    <w:rsid w:val="00CA5C51"/>
    <w:rsid w:val="00CD4736"/>
    <w:rsid w:val="00CD77A3"/>
    <w:rsid w:val="00CF6AEA"/>
    <w:rsid w:val="00D32851"/>
    <w:rsid w:val="00D32D26"/>
    <w:rsid w:val="00D62E57"/>
    <w:rsid w:val="00D64C27"/>
    <w:rsid w:val="00D65F06"/>
    <w:rsid w:val="00D76820"/>
    <w:rsid w:val="00D83A32"/>
    <w:rsid w:val="00D92A21"/>
    <w:rsid w:val="00D946FF"/>
    <w:rsid w:val="00D94B9B"/>
    <w:rsid w:val="00D9799E"/>
    <w:rsid w:val="00DA0F75"/>
    <w:rsid w:val="00DB1CBE"/>
    <w:rsid w:val="00DC189D"/>
    <w:rsid w:val="00DC34C7"/>
    <w:rsid w:val="00DC7264"/>
    <w:rsid w:val="00DE2C51"/>
    <w:rsid w:val="00DF529D"/>
    <w:rsid w:val="00E10075"/>
    <w:rsid w:val="00E13FB7"/>
    <w:rsid w:val="00E2051C"/>
    <w:rsid w:val="00E41FA6"/>
    <w:rsid w:val="00E440C0"/>
    <w:rsid w:val="00E46382"/>
    <w:rsid w:val="00E50DDD"/>
    <w:rsid w:val="00E62987"/>
    <w:rsid w:val="00E762A9"/>
    <w:rsid w:val="00E878A4"/>
    <w:rsid w:val="00EA0BDF"/>
    <w:rsid w:val="00EA3C84"/>
    <w:rsid w:val="00EA41C3"/>
    <w:rsid w:val="00EB5B27"/>
    <w:rsid w:val="00EE7E1F"/>
    <w:rsid w:val="00EF4488"/>
    <w:rsid w:val="00EF5808"/>
    <w:rsid w:val="00F00BCF"/>
    <w:rsid w:val="00F06AC5"/>
    <w:rsid w:val="00F439B5"/>
    <w:rsid w:val="00F46ECB"/>
    <w:rsid w:val="00F50591"/>
    <w:rsid w:val="00F61638"/>
    <w:rsid w:val="00F76421"/>
    <w:rsid w:val="00F84A70"/>
    <w:rsid w:val="00F90481"/>
    <w:rsid w:val="00FA079B"/>
    <w:rsid w:val="00FB3AA0"/>
    <w:rsid w:val="00FE0884"/>
    <w:rsid w:val="00FE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5DE85D-2EA3-44FF-910A-DE17ADE29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F7C"/>
    <w:pPr>
      <w:spacing w:after="0" w:line="24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36E"/>
    <w:pPr>
      <w:ind w:left="720"/>
      <w:contextualSpacing/>
    </w:pPr>
  </w:style>
  <w:style w:type="character" w:styleId="Hyperlink">
    <w:name w:val="Hyperlink"/>
    <w:basedOn w:val="DefaultParagraphFont"/>
    <w:uiPriority w:val="99"/>
    <w:unhideWhenUsed/>
    <w:rsid w:val="00202DF9"/>
    <w:rPr>
      <w:color w:val="0563C1" w:themeColor="hyperlink"/>
      <w:u w:val="single"/>
    </w:rPr>
  </w:style>
  <w:style w:type="table" w:styleId="TableGrid">
    <w:name w:val="Table Grid"/>
    <w:basedOn w:val="TableNormal"/>
    <w:uiPriority w:val="39"/>
    <w:rsid w:val="00B63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4248"/>
    <w:pPr>
      <w:tabs>
        <w:tab w:val="center" w:pos="4680"/>
        <w:tab w:val="right" w:pos="9360"/>
      </w:tabs>
    </w:pPr>
  </w:style>
  <w:style w:type="character" w:customStyle="1" w:styleId="HeaderChar">
    <w:name w:val="Header Char"/>
    <w:basedOn w:val="DefaultParagraphFont"/>
    <w:link w:val="Header"/>
    <w:uiPriority w:val="99"/>
    <w:rsid w:val="002A4248"/>
  </w:style>
  <w:style w:type="paragraph" w:styleId="Footer">
    <w:name w:val="footer"/>
    <w:basedOn w:val="Normal"/>
    <w:link w:val="FooterChar"/>
    <w:uiPriority w:val="99"/>
    <w:unhideWhenUsed/>
    <w:rsid w:val="002A4248"/>
    <w:pPr>
      <w:tabs>
        <w:tab w:val="center" w:pos="4680"/>
        <w:tab w:val="right" w:pos="9360"/>
      </w:tabs>
    </w:pPr>
  </w:style>
  <w:style w:type="character" w:customStyle="1" w:styleId="FooterChar">
    <w:name w:val="Footer Char"/>
    <w:basedOn w:val="DefaultParagraphFont"/>
    <w:link w:val="Footer"/>
    <w:uiPriority w:val="99"/>
    <w:rsid w:val="002A4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2152</TotalTime>
  <Pages>5</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Tuyen T [CCE E]</dc:creator>
  <cp:keywords/>
  <dc:description/>
  <cp:lastModifiedBy>Le, Tuyen T [CCE E]</cp:lastModifiedBy>
  <cp:revision>258</cp:revision>
  <dcterms:created xsi:type="dcterms:W3CDTF">2016-05-24T02:23:00Z</dcterms:created>
  <dcterms:modified xsi:type="dcterms:W3CDTF">2016-05-27T16:55:00Z</dcterms:modified>
</cp:coreProperties>
</file>