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F2608F" w:rsidP="00F0379C">
            <w:pPr>
              <w:pStyle w:val="ExchangeRequirementName"/>
            </w:pPr>
            <w:r>
              <w:t xml:space="preserve">Guardrail maintenance </w:t>
            </w:r>
            <w:r w:rsidR="00F0379C">
              <w:t>evaluation</w:t>
            </w:r>
            <w:r>
              <w:t xml:space="preserve">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ED606D">
              <w:t>.20</w:t>
            </w:r>
            <w:r w:rsidR="0097572B">
              <w:t>0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A13F3" w:rsidP="005D58FD">
            <w:pPr>
              <w:pStyle w:val="ChangeDate"/>
            </w:pPr>
            <w:r>
              <w:t>2016-08-15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9658B4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F2608F" w:rsidP="00B11DEE">
      <w:pPr>
        <w:snapToGrid w:val="0"/>
      </w:pPr>
      <w:r w:rsidRPr="00F2608F">
        <w:t>Maintenance</w:t>
      </w:r>
      <w:r>
        <w:t xml:space="preserve"> shop</w:t>
      </w:r>
      <w:r w:rsidRPr="00F2608F">
        <w:t xml:space="preserve"> will be emailed a bridge repair work order (post or guardrail damaged) in PDF form </w:t>
      </w:r>
      <w:r w:rsidR="00BF62F5">
        <w:t>from district bridge inspector</w:t>
      </w:r>
      <w:r w:rsidR="00BF62F5" w:rsidRPr="00F2608F">
        <w:t xml:space="preserve"> </w:t>
      </w:r>
      <w:r w:rsidRPr="00F2608F">
        <w:t>if maintenance is needed</w:t>
      </w:r>
      <w:r w:rsidR="00D74896">
        <w:t xml:space="preserve"> or from </w:t>
      </w:r>
      <w:r w:rsidR="00BF62F5">
        <w:t xml:space="preserve">the </w:t>
      </w:r>
      <w:r w:rsidR="00D74896">
        <w:t>call centre</w:t>
      </w:r>
      <w:r w:rsidR="00BF62F5">
        <w:t xml:space="preserve"> when there is an </w:t>
      </w:r>
      <w:r w:rsidR="00FB548B">
        <w:t>incident</w:t>
      </w:r>
      <w:r w:rsidRPr="00F2608F">
        <w:t xml:space="preserve">. Some other supporting documents, images may be attached as well. </w:t>
      </w:r>
      <w:r w:rsidR="00113815">
        <w:t xml:space="preserve"> The m</w:t>
      </w:r>
      <w:r w:rsidR="00E61244">
        <w:t>aintenance personnel</w:t>
      </w:r>
      <w:bookmarkStart w:id="0" w:name="_GoBack"/>
      <w:bookmarkEnd w:id="0"/>
      <w:r w:rsidR="00E61244">
        <w:t xml:space="preserve"> may need to do further inspection to </w:t>
      </w:r>
      <w:r w:rsidR="000C5F3B">
        <w:t>evaluate</w:t>
      </w:r>
      <w:r w:rsidR="00E61244">
        <w:t xml:space="preserve"> </w:t>
      </w:r>
      <w:r w:rsidR="001C4454">
        <w:t>the maintenance need</w:t>
      </w:r>
      <w:r w:rsidR="007A7D4E">
        <w:t>.</w:t>
      </w: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470C34">
        <w:rPr>
          <w:lang w:val="en-US"/>
        </w:rPr>
        <w:t>District bridge inspector</w:t>
      </w:r>
      <w:r w:rsidR="00634E9B">
        <w:rPr>
          <w:lang w:val="en-US"/>
        </w:rPr>
        <w:t>/call center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470C34">
        <w:rPr>
          <w:lang w:val="en-US"/>
        </w:rPr>
        <w:t>Maintenance shop</w:t>
      </w:r>
      <w:r w:rsidR="00CF245D">
        <w:rPr>
          <w:lang w:val="en-US"/>
        </w:rPr>
        <w:t xml:space="preserve"> </w:t>
      </w:r>
    </w:p>
    <w:p w:rsidR="003177BB" w:rsidRDefault="003177BB" w:rsidP="00B11DEE">
      <w:pPr>
        <w:snapToGrid w:val="0"/>
      </w:pPr>
    </w:p>
    <w:p w:rsidR="00F2608F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97572B" w:rsidTr="00E11638">
        <w:tc>
          <w:tcPr>
            <w:tcW w:w="2088" w:type="dxa"/>
            <w:vMerge w:val="restart"/>
          </w:tcPr>
          <w:p w:rsidR="0097572B" w:rsidRDefault="00CA2A2E" w:rsidP="00CA2A2E">
            <w:pPr>
              <w:rPr>
                <w:lang w:val="en-US"/>
              </w:rPr>
            </w:pPr>
            <w:r>
              <w:rPr>
                <w:lang w:val="en-US"/>
              </w:rPr>
              <w:t>Work order</w:t>
            </w:r>
            <w:r w:rsidR="001B2309">
              <w:rPr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  <w:r>
              <w:rPr>
                <w:lang w:val="en-US"/>
              </w:rPr>
              <w:t>Bridge number</w:t>
            </w:r>
          </w:p>
        </w:tc>
        <w:tc>
          <w:tcPr>
            <w:tcW w:w="3060" w:type="dxa"/>
          </w:tcPr>
          <w:p w:rsidR="0097572B" w:rsidRDefault="002E6860" w:rsidP="00203F35">
            <w:pPr>
              <w:rPr>
                <w:lang w:val="en-US"/>
              </w:rPr>
            </w:pPr>
            <w:r>
              <w:rPr>
                <w:lang w:val="en-US"/>
              </w:rPr>
              <w:t>(e.g., 8518.7035)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D8326E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D8326E">
              <w:rPr>
                <w:lang w:val="en-US"/>
              </w:rPr>
              <w:t xml:space="preserve"> code</w:t>
            </w:r>
          </w:p>
        </w:tc>
        <w:tc>
          <w:tcPr>
            <w:tcW w:w="3060" w:type="dxa"/>
          </w:tcPr>
          <w:p w:rsidR="0097572B" w:rsidRDefault="002E6860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(e.g., </w:t>
            </w:r>
            <w:r w:rsidR="00E8316A">
              <w:rPr>
                <w:lang w:val="en-US"/>
              </w:rPr>
              <w:t>2.1 miles north of SR E29)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3060" w:type="dxa"/>
          </w:tcPr>
          <w:p w:rsidR="0097572B" w:rsidRDefault="00E8316A" w:rsidP="00203F35">
            <w:pPr>
              <w:rPr>
                <w:lang w:val="en-US"/>
              </w:rPr>
            </w:pPr>
            <w:r>
              <w:rPr>
                <w:lang w:val="en-US"/>
              </w:rPr>
              <w:t>(e.g.,692)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  <w:r>
              <w:rPr>
                <w:lang w:val="en-US"/>
              </w:rPr>
              <w:t>Repair code</w:t>
            </w:r>
          </w:p>
        </w:tc>
        <w:tc>
          <w:tcPr>
            <w:tcW w:w="3060" w:type="dxa"/>
          </w:tcPr>
          <w:p w:rsidR="0097572B" w:rsidRDefault="00E8316A" w:rsidP="00203F35">
            <w:pPr>
              <w:rPr>
                <w:lang w:val="en-US"/>
              </w:rPr>
            </w:pPr>
            <w:r>
              <w:rPr>
                <w:lang w:val="en-US"/>
              </w:rPr>
              <w:t>(e.g., 559)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1B2309" w:rsidTr="00E11638">
        <w:tc>
          <w:tcPr>
            <w:tcW w:w="2088" w:type="dxa"/>
            <w:vMerge/>
          </w:tcPr>
          <w:p w:rsidR="001B2309" w:rsidRDefault="001B2309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B2309" w:rsidRDefault="001B2309" w:rsidP="00203F35">
            <w:pPr>
              <w:rPr>
                <w:lang w:val="en-US"/>
              </w:rPr>
            </w:pPr>
            <w:r>
              <w:rPr>
                <w:lang w:val="en-US"/>
              </w:rPr>
              <w:t>Repair type</w:t>
            </w:r>
          </w:p>
        </w:tc>
        <w:tc>
          <w:tcPr>
            <w:tcW w:w="3060" w:type="dxa"/>
          </w:tcPr>
          <w:p w:rsidR="001B2309" w:rsidRDefault="00E8316A" w:rsidP="00203F35">
            <w:pPr>
              <w:rPr>
                <w:lang w:val="en-US"/>
              </w:rPr>
            </w:pPr>
            <w:r>
              <w:rPr>
                <w:lang w:val="en-US"/>
              </w:rPr>
              <w:t>(e.g., corrective)</w:t>
            </w:r>
          </w:p>
        </w:tc>
        <w:tc>
          <w:tcPr>
            <w:tcW w:w="2880" w:type="dxa"/>
          </w:tcPr>
          <w:p w:rsidR="001B2309" w:rsidRDefault="001B2309" w:rsidP="00203F35">
            <w:pPr>
              <w:rPr>
                <w:lang w:val="en-US"/>
              </w:rPr>
            </w:pPr>
          </w:p>
        </w:tc>
      </w:tr>
      <w:tr w:rsidR="001B2309" w:rsidTr="00E11638">
        <w:tc>
          <w:tcPr>
            <w:tcW w:w="2088" w:type="dxa"/>
            <w:vMerge/>
          </w:tcPr>
          <w:p w:rsidR="001B2309" w:rsidRDefault="001B2309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B2309" w:rsidRDefault="001B2309" w:rsidP="00203F35">
            <w:pPr>
              <w:rPr>
                <w:lang w:val="en-US"/>
              </w:rPr>
            </w:pPr>
            <w:r>
              <w:rPr>
                <w:lang w:val="en-US"/>
              </w:rPr>
              <w:t>Repair due date</w:t>
            </w:r>
          </w:p>
        </w:tc>
        <w:tc>
          <w:tcPr>
            <w:tcW w:w="3060" w:type="dxa"/>
          </w:tcPr>
          <w:p w:rsidR="001B2309" w:rsidRDefault="001B2309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1B2309" w:rsidRDefault="001B2309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  <w:r>
              <w:rPr>
                <w:lang w:val="en-US"/>
              </w:rPr>
              <w:t>Repair description</w:t>
            </w: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Inspection recommendation </w:t>
            </w: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  <w:r>
              <w:rPr>
                <w:lang w:val="en-US"/>
              </w:rPr>
              <w:t>Repair instruction</w:t>
            </w: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43" w:rsidRDefault="006D0143" w:rsidP="005251B4">
      <w:r>
        <w:separator/>
      </w:r>
    </w:p>
  </w:endnote>
  <w:endnote w:type="continuationSeparator" w:id="0">
    <w:p w:rsidR="006D0143" w:rsidRDefault="006D0143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43" w:rsidRDefault="006D0143" w:rsidP="005251B4">
      <w:r>
        <w:separator/>
      </w:r>
    </w:p>
  </w:footnote>
  <w:footnote w:type="continuationSeparator" w:id="0">
    <w:p w:rsidR="006D0143" w:rsidRDefault="006D0143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sFAAAi7yU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853A1"/>
    <w:rsid w:val="000942C4"/>
    <w:rsid w:val="000A2C33"/>
    <w:rsid w:val="000B33AB"/>
    <w:rsid w:val="000C5F3B"/>
    <w:rsid w:val="000D1C8B"/>
    <w:rsid w:val="000E0780"/>
    <w:rsid w:val="000E59B6"/>
    <w:rsid w:val="000E7BF4"/>
    <w:rsid w:val="000F1B17"/>
    <w:rsid w:val="000F721D"/>
    <w:rsid w:val="001025E3"/>
    <w:rsid w:val="0010575B"/>
    <w:rsid w:val="001074CE"/>
    <w:rsid w:val="00113815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59E1"/>
    <w:rsid w:val="00160512"/>
    <w:rsid w:val="00170E3A"/>
    <w:rsid w:val="00171BD0"/>
    <w:rsid w:val="00174170"/>
    <w:rsid w:val="00181430"/>
    <w:rsid w:val="00195BD1"/>
    <w:rsid w:val="001A62F8"/>
    <w:rsid w:val="001B2309"/>
    <w:rsid w:val="001B53A6"/>
    <w:rsid w:val="001C4454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327"/>
    <w:rsid w:val="00255DFD"/>
    <w:rsid w:val="0025669D"/>
    <w:rsid w:val="002622A7"/>
    <w:rsid w:val="002815D5"/>
    <w:rsid w:val="00286C17"/>
    <w:rsid w:val="00287888"/>
    <w:rsid w:val="00296B92"/>
    <w:rsid w:val="002B103A"/>
    <w:rsid w:val="002B5414"/>
    <w:rsid w:val="002C5CBF"/>
    <w:rsid w:val="002D546D"/>
    <w:rsid w:val="002D7076"/>
    <w:rsid w:val="002D7286"/>
    <w:rsid w:val="002E096B"/>
    <w:rsid w:val="002E490F"/>
    <w:rsid w:val="002E6860"/>
    <w:rsid w:val="002F5FAC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F38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0C34"/>
    <w:rsid w:val="0047603F"/>
    <w:rsid w:val="004B4DCF"/>
    <w:rsid w:val="004C4877"/>
    <w:rsid w:val="004C4D00"/>
    <w:rsid w:val="004C763C"/>
    <w:rsid w:val="004C7920"/>
    <w:rsid w:val="004C7DD7"/>
    <w:rsid w:val="004D3E65"/>
    <w:rsid w:val="004E0D3D"/>
    <w:rsid w:val="004E175F"/>
    <w:rsid w:val="004F0BD2"/>
    <w:rsid w:val="004F2B87"/>
    <w:rsid w:val="004F5081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3B5E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34E9B"/>
    <w:rsid w:val="00640311"/>
    <w:rsid w:val="00641499"/>
    <w:rsid w:val="00643531"/>
    <w:rsid w:val="00656B37"/>
    <w:rsid w:val="00667DD0"/>
    <w:rsid w:val="00672E88"/>
    <w:rsid w:val="006815FD"/>
    <w:rsid w:val="00695AF6"/>
    <w:rsid w:val="006B5C05"/>
    <w:rsid w:val="006C5739"/>
    <w:rsid w:val="006D0143"/>
    <w:rsid w:val="006D390A"/>
    <w:rsid w:val="006D6648"/>
    <w:rsid w:val="006E2982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417E"/>
    <w:rsid w:val="00783EF4"/>
    <w:rsid w:val="00784517"/>
    <w:rsid w:val="00784527"/>
    <w:rsid w:val="007868A6"/>
    <w:rsid w:val="007A2547"/>
    <w:rsid w:val="007A2BC7"/>
    <w:rsid w:val="007A7D4E"/>
    <w:rsid w:val="007A7ED2"/>
    <w:rsid w:val="007B560D"/>
    <w:rsid w:val="007B682B"/>
    <w:rsid w:val="007C1D44"/>
    <w:rsid w:val="007C2B6B"/>
    <w:rsid w:val="007C36BD"/>
    <w:rsid w:val="007D5C9C"/>
    <w:rsid w:val="007D7F73"/>
    <w:rsid w:val="007E2BF2"/>
    <w:rsid w:val="007E3781"/>
    <w:rsid w:val="007F082E"/>
    <w:rsid w:val="007F118E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8B4"/>
    <w:rsid w:val="00965D19"/>
    <w:rsid w:val="00973EFB"/>
    <w:rsid w:val="0097572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40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BF62F5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65E7A"/>
    <w:rsid w:val="00C81A98"/>
    <w:rsid w:val="00C81DEB"/>
    <w:rsid w:val="00C81F9B"/>
    <w:rsid w:val="00C844AC"/>
    <w:rsid w:val="00C96F56"/>
    <w:rsid w:val="00CA10F6"/>
    <w:rsid w:val="00CA1DC6"/>
    <w:rsid w:val="00CA2A2E"/>
    <w:rsid w:val="00CB0B99"/>
    <w:rsid w:val="00CC1BC3"/>
    <w:rsid w:val="00CC4488"/>
    <w:rsid w:val="00CD68F9"/>
    <w:rsid w:val="00CE330F"/>
    <w:rsid w:val="00CE7947"/>
    <w:rsid w:val="00CF245D"/>
    <w:rsid w:val="00D034C2"/>
    <w:rsid w:val="00D04B26"/>
    <w:rsid w:val="00D06C90"/>
    <w:rsid w:val="00D16692"/>
    <w:rsid w:val="00D24751"/>
    <w:rsid w:val="00D27B71"/>
    <w:rsid w:val="00D32B7A"/>
    <w:rsid w:val="00D34AA9"/>
    <w:rsid w:val="00D374C9"/>
    <w:rsid w:val="00D4076E"/>
    <w:rsid w:val="00D56D51"/>
    <w:rsid w:val="00D61DD2"/>
    <w:rsid w:val="00D66010"/>
    <w:rsid w:val="00D72CA9"/>
    <w:rsid w:val="00D72DAA"/>
    <w:rsid w:val="00D74896"/>
    <w:rsid w:val="00D8326E"/>
    <w:rsid w:val="00D83C34"/>
    <w:rsid w:val="00D8754F"/>
    <w:rsid w:val="00D959B2"/>
    <w:rsid w:val="00DA0CE2"/>
    <w:rsid w:val="00DA13F3"/>
    <w:rsid w:val="00DA5F0F"/>
    <w:rsid w:val="00DC1C72"/>
    <w:rsid w:val="00DC285A"/>
    <w:rsid w:val="00DC2B7E"/>
    <w:rsid w:val="00DC2DAF"/>
    <w:rsid w:val="00DD7053"/>
    <w:rsid w:val="00DF1B2F"/>
    <w:rsid w:val="00E11638"/>
    <w:rsid w:val="00E1275C"/>
    <w:rsid w:val="00E157DD"/>
    <w:rsid w:val="00E2659A"/>
    <w:rsid w:val="00E27175"/>
    <w:rsid w:val="00E431D3"/>
    <w:rsid w:val="00E4609D"/>
    <w:rsid w:val="00E5074E"/>
    <w:rsid w:val="00E515B4"/>
    <w:rsid w:val="00E61244"/>
    <w:rsid w:val="00E64F0B"/>
    <w:rsid w:val="00E67C90"/>
    <w:rsid w:val="00E81112"/>
    <w:rsid w:val="00E81539"/>
    <w:rsid w:val="00E8316A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06D"/>
    <w:rsid w:val="00ED6D97"/>
    <w:rsid w:val="00ED6DB0"/>
    <w:rsid w:val="00EE59B3"/>
    <w:rsid w:val="00EF340C"/>
    <w:rsid w:val="00EF5C44"/>
    <w:rsid w:val="00EF77BB"/>
    <w:rsid w:val="00F0379C"/>
    <w:rsid w:val="00F12018"/>
    <w:rsid w:val="00F12923"/>
    <w:rsid w:val="00F179CA"/>
    <w:rsid w:val="00F20A48"/>
    <w:rsid w:val="00F229F6"/>
    <w:rsid w:val="00F2608F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B548B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4504C-3FA5-45A2-91A5-046B5664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300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261</cp:revision>
  <cp:lastPrinted>1900-12-31T23:00:00Z</cp:lastPrinted>
  <dcterms:created xsi:type="dcterms:W3CDTF">2013-02-12T19:22:00Z</dcterms:created>
  <dcterms:modified xsi:type="dcterms:W3CDTF">2016-08-16T04:15:00Z</dcterms:modified>
</cp:coreProperties>
</file>