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3FD56">
      <w:pPr>
        <w:pStyle w:val="2"/>
        <w:jc w:val="both"/>
        <w:rPr>
          <w:rFonts w:hint="default" w:ascii="Times New Roman" w:hAnsi="Times New Roman" w:cs="Times New Roman"/>
          <w:color w:val="000000" w:themeColor="text1"/>
          <w:sz w:val="24"/>
          <w:szCs w:val="24"/>
          <w14:textFill>
            <w14:solidFill>
              <w14:schemeClr w14:val="tx1"/>
            </w14:solidFill>
          </w14:textFill>
        </w:rPr>
      </w:pPr>
      <w:bookmarkStart w:id="0" w:name="_GoBack"/>
      <w:r>
        <w:rPr>
          <w:rFonts w:hint="default" w:ascii="Times New Roman" w:hAnsi="Times New Roman" w:cs="Times New Roman"/>
          <w:color w:val="000000" w:themeColor="text1"/>
          <w:sz w:val="24"/>
          <w:szCs w:val="24"/>
          <w14:textFill>
            <w14:solidFill>
              <w14:schemeClr w14:val="tx1"/>
            </w14:solidFill>
          </w14:textFill>
        </w:rPr>
        <w:t>1. Giới thiệu đề tài</w:t>
      </w:r>
    </w:p>
    <w:p w14:paraId="110BC532">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Lý do chọn đề tài và ứng dụng thực tiễn của OCR:</w:t>
      </w:r>
    </w:p>
    <w:p w14:paraId="58606B0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Trong kỷ nguyên dữ liệu lớn (Big Data) và chuyển đổi số toàn diện, khối lượng dữ liệu phi cấu trúc—đặc biệt là tài liệu dạng ảnh, hóa đơn quét (scan), và văn bản viết tay—chiếm tỷ trọng áp đảo. Việc trích xuất thông tin từ các nguồn này đòi hỏi chi phí nhân lực khổng lồ nếu thực hiện thủ công. Công nghệ Nhận dạng ký tự quang học (Optical Character Recognition - OCR) nổi lên như một giải pháp cốt lõi, đóng vai trò chuyển đổi "điểm ảnh" (pixels) vô nghĩa thành "văn bản" (machine-readable text) có cấu trúc. Dưới góc độ khoa học dữ liệu, OCR không chỉ là một bài toán xử lý ảnh truyền thống mà còn là một hệ thống thị giác máy tính (Computer Vision) phức tạp, làm nền tảng cho nhiều quy trình tự động hóa (RPA). Trong ngành công nghiệp, OCR là "trái tim" của các hệ thống định danh điện tử (eKYC) trích xuất dữ liệu CCCD/Hộ chiếu, hệ thống đọc biển số xe thông minh (ALPR) trong giao thông, và tự động hóa trích xuất dữ liệu tài chính từ hóa đơn, hợp đồng.</w:t>
      </w:r>
    </w:p>
    <w:p w14:paraId="62CE2693">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Mục tiêu nghiên cứu:</w:t>
      </w:r>
    </w:p>
    <w:p w14:paraId="30A0CB51">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Đồ án này không dừng lại ở việc áp dụng các thư viện có sẵn, mà hướng tới việc xây dựng và tinh chỉnh một đường ống (pipeline) học máy end-to-end có tính mô-đun hóa cao. Mục tiêu trọng tâm là thiết kế một hệ thống có khả năng tiếp nhận ảnh thô, tự động phát hiện, trích xuất và phân loại chính xác 26 ký tự tiếng Anh viết thường (a-z). Hệ thống phải đảm bảo tính mạnh mẽ (robustness) trước các nhiễu loạn thông thường của dữ liệu thực tế như sự thay đổi về phông chữ, độ tương phản ánh sáng và nhiễu nền, đồng thời tối ưu hóa thời gian suy luận (inference time).</w:t>
      </w:r>
    </w:p>
    <w:p w14:paraId="6E8BD20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Phạm vi bài toán, chuẩn dữ liệu đầu vào và đầu ra:</w:t>
      </w:r>
    </w:p>
    <w:p w14:paraId="5893DAFF">
      <w:p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Phạm vi nghiên cứu: Để đảm bảo độ sâu về mặt kỹ thuật, đồ án tập trung giải quyết bài toán nhận dạng ký tự đơn lẻ (Isolated Character Recognition) sau khi đã qua bước phân mảnh (segmentation). Đây là tiền đề bắt buộc trước khi mở rộng sang các hệ thống nhận dạng chuỗi tuần tự phức tạp (như CRNN hay Attention-based models) cho văn bản dính liền.</w:t>
      </w:r>
      <w:r>
        <w:rPr>
          <w:rFonts w:hint="default" w:ascii="Times New Roman" w:hAnsi="Times New Roman" w:cs="Times New Roman"/>
          <w:color w:val="000000" w:themeColor="text1"/>
          <w:sz w:val="24"/>
          <w:szCs w:val="24"/>
          <w:lang w:val="en-US"/>
          <w14:textFill>
            <w14:solidFill>
              <w14:schemeClr w14:val="tx1"/>
            </w14:solidFill>
          </w14:textFill>
        </w:rPr>
        <w:t xml:space="preserve"> </w:t>
      </w:r>
    </w:p>
    <w:p w14:paraId="57C8431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Đặc tả Đầu vào (Input): Dữ liệu là các ảnh kỹ thuật số đa dạng định dạng, có thể chứa nhiễu. Hệ thống sẽ chuẩn hóa về không gian màu Grayscale hoặc ảnh nhị phân với kích thước ma trận cố định (ví dụ: 28x28 hoặc 32x32 pixels) trước khi đưa vào mô hình.</w:t>
      </w:r>
    </w:p>
    <w:p w14:paraId="111C97F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Đặc tả Đầu ra (Output): Mô hình trả về một véc-tơ phân phối xác suất qua hàm Softmax cho 26 lớp. Đầu ra cuối cùng là nhãn (label) có xác suất cao nhất kèm theo độ tin cậy (Confidence Score), phục vụ cho việc hậu xử lý (Post-processing).</w:t>
      </w:r>
    </w:p>
    <w:p w14:paraId="2D4E6AFE">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Kiến trúc tổng quan và quy trình triển khai:</w:t>
      </w:r>
    </w:p>
    <w:p w14:paraId="6FEAA724">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Đồ án được triển khai theo vòng đời phát triển của một dự án Khoa học dữ liệu chuẩn mực:</w:t>
      </w:r>
    </w:p>
    <w:p w14:paraId="325CC2A9">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Tiền xử lý tín hiệu ảnh (Image Preprocessing): Áp dụng các bộ lọc số (digital filters) và biến đổi không gian màu để giảm nhiễu (noise reduction), cân bằng histogram và nhị phân hóa, tối ưu hóa tỷ lệ tín hiệu trên nhiễu (SNR) của vùng chứa chữ.</w:t>
      </w:r>
    </w:p>
    <w:p w14:paraId="34E9DA25">
      <w:pPr>
        <w:numPr>
          <w:ilvl w:val="0"/>
          <w:numId w:val="7"/>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Khám phá và Phân mảnh (Segmentation): Triển khai các thuật toán phân tích thành phần liên thông (Connected Component Analysis) và tìm đường viền (Contour finding) để tính toán hộp giới hạn (Bounding Boxes), từ đó trích xuất (crop) chính xác từng ký tự.</w:t>
      </w:r>
    </w:p>
    <w:p w14:paraId="5AC1F363">
      <w:pPr>
        <w:numPr>
          <w:ilvl w:val="0"/>
          <w:numId w:val="7"/>
        </w:numPr>
        <w:ind w:left="0" w:leftChars="0" w:firstLine="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Biểu diễn đặc trưng và Phân loại (Feature Representation &amp; Classification): Tận dụng sức mạnh của Mạng nơ-ron tích chập (CNN) sâu để tự động trích xuất các đặc trưng không gian đa cấp độ thay vì các phương pháp thủ công (HOG, SIFT). Đặc trưng này được ánh xạ tới không gian phân lớp 26 chiều.</w:t>
      </w:r>
    </w:p>
    <w:p w14:paraId="310D4E02">
      <w:pPr>
        <w:numPr>
          <w:numId w:val="0"/>
        </w:numPr>
        <w:ind w:left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Đánh giá và Tối ưu (Evaluation &amp; Optimization): Đánh giá mô hình toàn diện dựa trên Ma trận nhầm lẫn (Confusion Matrix), tập trung phân tích các cặp ký tự dễ nhầm lẫn (như 'l' và 'i', 'u' và 'v'). Tối ưu hóa siêu tham số (Hyperparameter tuning) để đạt điểm F1-Score tốt nhất.</w:t>
      </w:r>
    </w:p>
    <w:p w14:paraId="4277511B">
      <w:pPr>
        <w:pStyle w:val="2"/>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Cơ sở lý thuyết và Kỹ thuật cốt lõi</w:t>
      </w:r>
    </w:p>
    <w:p w14:paraId="392271AB">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Tổng quan OCR và sự tiến hóa của hệ thống nhận dạng:</w:t>
      </w:r>
    </w:p>
    <w:p w14:paraId="18B439C2">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Nhận dạng ký tự quang học đã trải qua một sự chuyển dịch lớn. Từ các phương pháp khớp mẫu (Template Matching) thô sơ nhạy cảm với sự dịch chuyển và tỷ lệ, chuyển sang các mô hình học máy truyền thống (như SVM, Random Forest) kết hợp với kỹ thuật trích xuất đặc trưng thủ công (Feature Engineering). Hiện tại, kỷ nguyên Deep Learning, đặc biệt là sự trỗi dậy của CNN, đã tái định nghĩa lại OCR. Hệ thống OCR hiện đại hoạt động theo nguyên lý học biểu diễn (Representation Learning), trong đó mạng nơ-ron tự động học các bộ lọc tối ưu từ dữ liệu thay vì được thiết kế bởi kỹ sư.</w:t>
      </w:r>
    </w:p>
    <w:p w14:paraId="25471F3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Xử lý tín hiệu ảnh và Tối ưu hóa dữ liệu đầu vào:</w:t>
      </w:r>
    </w:p>
    <w:p w14:paraId="164285FE">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Dữ liệu ảnh thô thường chứa nhiều thông tin dư thừa và nhiễu. Các bước tiền xử lý là bắt buộc để "dọn đường" cho mô hình học sâu:</w:t>
      </w:r>
    </w:p>
    <w:p w14:paraId="30C6D459">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Không gian màu Grayscale: Chuyển đổi từ không gian 3 chiều (RGB) sang 1 chiều (Luminance). Việc này giúp giảm 2/3 khối lượng tính toán, đồng thời bảo toàn cấu trúc hình học (topology) của ký tự - yếu tố quyết định trong nhận dạng chữ.</w:t>
      </w:r>
    </w:p>
    <w:p w14:paraId="3101B4D9">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Thuật toán Ngưỡng Otsu (Otsu's Method): Là kỹ thuật phân cụm dựa trên phương sai (variance-based clustering). Thuật toán duyệt qua mọi ngưỡng có thể có (0-255) để tìm ra một ngưỡng tối ưu sao cho phương sai liên lớp (inter-class variance) giữa hai cụm (văn bản và nền) đạt cực đại. Kỹ thuật này đặc biệt hiệu quả trong việc tự động hóa quá trình nhị phân hóa (Binarization) đối với ảnh có điều kiện ánh sáng không đồng đều.</w:t>
      </w:r>
    </w:p>
    <w:p w14:paraId="3EEDFFBB">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Phép toán Hình thái học (Morphological Operations): Sử dụng toán tử Giãn (Dilation) với một phần tử cấu trúc (Structuring Element). Toán tử này quét qua ảnh và khuếch đại các điểm ảnh vùng foreground. Trong OCR, kỹ thuật này vô cùng quan trọng để phục hồi các nét chữ bị đứt gãy do chất lượng scan kém hoặc do thuật toán binarize loại bỏ nhầm.</w:t>
      </w:r>
    </w:p>
    <w:p w14:paraId="46D1DBE7">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Trích xuất Đường viền (Contour Extraction): Sử dụng thuật toán phân tích tô pô (như thuật toán Suzuki). Các đường viền được phát hiện giúp hệ thống định vị chính xác vùng quan tâm (ROI). Các bộ lọc heuristic dựa trên diện tích (area) và tỷ lệ khung hình (aspect ratio) được áp dụng để loại bỏ các contour nhiễu không phải là chữ cái.</w:t>
      </w:r>
    </w:p>
    <w:p w14:paraId="4F59F0CB">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Kiến trúc Mạng nơ-ron tích chập (CNN) trong trích xuất đặc trưng:</w:t>
      </w:r>
    </w:p>
    <w:p w14:paraId="25FBAAF8">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CNN là mô hình "state-of-the-art" cho dữ liệu có tính chất lưới (grid-like data) như ảnh, nhờ khai thác các giả định về sự phụ thuộc không gian cục bộ.</w:t>
      </w:r>
    </w:p>
    <w:p w14:paraId="71720ABA">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Lớp Tích chập (Conv2D): Thực hiện phép nhân chập giữa ảnh đầu vào và các bộ lọc (kernels) để tạo ra các Bản đồ đặc trưng (Feature Maps). Các lớp đầu học được các đặc trưng bậc thấp (cạnh, góc), trong khi các lớp sâu tổng hợp thành đặc trưng bậc cao (hình dáng). Trọng số được chia sẻ (Weight Sharing) giúp mô hình có tính bất biến tịnh tiến (Translation Invariance).</w:t>
      </w:r>
    </w:p>
    <w:p w14:paraId="5F49D2D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Lớp Subsampling (Max Pooling): Trích xuất giá trị lớn nhất trong một vùng lân cận. Phép toán này loại bỏ bớt sự dư thừa không gian, giảm thiểu kích thước ma trận, từ đó giảm số lượng tham số cần học và kiểm soát rủi ro Overfitting.</w:t>
      </w:r>
    </w:p>
    <w:p w14:paraId="575D0A2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Kỹ thuật Dropout: Là một phương pháp Regularization mạnh mẽ. Bằng cách ngẫu nhiên vô hiệu hóa (tắt) một tỷ lệ các nơ-ron trong pha huấn luyện, Dropout ngăn chặn hiện tượng đồng thích nghi (co-adaptation), buộc mạng phải phân tán trọng số và học biểu diễn mạnh mẽ hơn.</w:t>
      </w:r>
    </w:p>
    <w:p w14:paraId="567D6051">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Mạng Kết nối đầy đủ (Dense Layers): Hoạt động như một bộ phân loại phi tuyến tính, kết hợp tất cả các đặc trưng bậc cao đã được làm phẳng (flattened) để đưa ra dự đoán qua hàm kích hoạt Softmax, chuyển hóa output thành phân phối xác suất.</w:t>
      </w:r>
    </w:p>
    <w:p w14:paraId="3024F7B9">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Học chuyển giao (Transfer Learning) và Khai thác Kiến trúc DenseNet121:</w:t>
      </w:r>
    </w:p>
    <w:p w14:paraId="38B0E99A">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Triết lý Transfer Learning: Thay vì huấn luyện một mạng CNN đồ sộ từ con số không, ta tái sử dụng trọng số của một mô hình đã được đào tạo trên hàng triệu bức ảnh (như ImageNet). Bằng kỹ thuật Fine-tuning, ta đóng băng (freeze) các lớp trích xuất đặc trưng bậc thấp (mang tính phổ quát) và chỉ huấn luyện lại khối phân loại cuối (Classifier) để thích ứng với miền dữ liệu chữ cái tiếng Anh.</w:t>
      </w:r>
    </w:p>
    <w:p w14:paraId="650BD95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Phân tích chuyên sâu kiến trúc DenseNet121: Khắc phục nhược điểm của các mạng CNN truyền thống khi trở nên quá sâu (tiêu biến đạo hàm - Vanishing Gradient), DenseNet giới thiệu khái niệm Kết nối dày đặc (Dense Connectivity). Trong một Dense Block, mỗi lớp (layer) nhận đầu vào là sơ đồ đặc trưng (feature maps) của TẤT CẢ các lớp trước nó thông qua phép nối (Concatenation) thay vì phép cộng (Addition) như ResNet. </w:t>
      </w:r>
    </w:p>
    <w:p w14:paraId="2217AA91">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Cơ chế này mang lại 3 ưu điểm vượt trội cho bài toán OCR:</w:t>
      </w:r>
    </w:p>
    <w:p w14:paraId="646D79D9">
      <w:pPr>
        <w:numPr>
          <w:ilvl w:val="0"/>
          <w:numId w:val="8"/>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Dòng chảy Gradient được đảm bảo xuyên suốt từ lớp cuối về lớp đầu trong quá trình Backpropagation (lan truyền ngược).</w:t>
      </w:r>
    </w:p>
    <w:p w14:paraId="15A47311">
      <w:pPr>
        <w:numPr>
          <w:ilvl w:val="0"/>
          <w:numId w:val="8"/>
        </w:numPr>
        <w:ind w:left="0" w:leftChars="0" w:firstLine="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Tái sử dụng đặc trưng (Feature Reuse): Mạng học cách kết hợp cả đặc trưng bậc thấp và bậc cao tại các lớp quyết định cuối cùng, rất hữu ích để nhận dạng các cấu trúc nét chữ phức tạp.</w:t>
      </w:r>
    </w:p>
    <w:p w14:paraId="387B92DA">
      <w:pPr>
        <w:numPr>
          <w:numId w:val="0"/>
        </w:numPr>
        <w:ind w:left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Hiệu quả về Tham số: Mặc dù hiệu năng cực cao, DenseNet yêu cầu số lượng tham số (Parameters) ít hơn rất nhiều so với VGG hay ResNet, giúp mô hình gọn nhẹ, giảm thời gian huấn luyện và phù hợp để triển khai trên hệ thống thực tế.</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92ACBD"/>
    <w:multiLevelType w:val="singleLevel"/>
    <w:tmpl w:val="B292ACBD"/>
    <w:lvl w:ilvl="0" w:tentative="0">
      <w:start w:val="2"/>
      <w:numFmt w:val="decimal"/>
      <w:suff w:val="space"/>
      <w:lvlText w:val="%1."/>
      <w:lvlJc w:val="left"/>
    </w:lvl>
  </w:abstractNum>
  <w:abstractNum w:abstractNumId="1">
    <w:nsid w:val="C6583EAF"/>
    <w:multiLevelType w:val="singleLevel"/>
    <w:tmpl w:val="C6583EAF"/>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E7044"/>
    <w:rsid w:val="00CB0664"/>
    <w:rsid w:val="00FC693F"/>
    <w:rsid w:val="0AAE1A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1771</Words>
  <Characters>7016</Characters>
  <Lines>0</Lines>
  <Paragraphs>0</Paragraphs>
  <TotalTime>1</TotalTime>
  <ScaleCrop>false</ScaleCrop>
  <LinksUpToDate>false</LinksUpToDate>
  <CharactersWithSpaces>8750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thanh danh nguyen</cp:lastModifiedBy>
  <dcterms:modified xsi:type="dcterms:W3CDTF">2026-10-24T05:43:51Z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eyJoZGlkIjoiNGEzMzkyOGVmZDJkOGU0NTRkNGEyMTU1OTljYjYzY2UiLCJ1c2VySWQiOiIxMzc0MzkxODQ4NjE4In0=</vt:lpwstr>
  </property>
  <property fmtid="{D5CDD505-2E9C-101B-9397-08002B2CF9AE}" pid="3" name="KSOProductBuildVer">
    <vt:lpwstr>1033-12.1.0.29162</vt:lpwstr>
  </property>
  <property fmtid="{D5CDD505-2E9C-101B-9397-08002B2CF9AE}" pid="4" name="ICV">
    <vt:lpwstr>E3529CB5838E495D809C9F8A6270DA34_13</vt:lpwstr>
  </property>
</Properties>
</file>