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Organización sedes y personal de referencia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CC-AN-01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01</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2025-12-31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Anexo | Dirección general</w:t>
      </w:r>
    </w:p>
    <w:p>
      <w:pPr>
        <w:spacing w:after="60"/>
      </w:pPr>
      <w:r>
        <w:rPr>
          <w:b/>
        </w:rPr>
        <w:t xml:space="preserve">Responsable: </w:t>
      </w:r>
      <w:r>
        <w:t>Valentina Ríos</w:t>
      </w:r>
    </w:p>
    <w:p>
      <w:pPr>
        <w:spacing w:after="60"/>
      </w:pPr>
      <w:r>
        <w:rPr>
          <w:b/>
        </w:rPr>
        <w:t xml:space="preserve">Aprobación interna: </w:t>
      </w:r>
      <w:r>
        <w:t>Valentina Ríos</w:t>
      </w:r>
    </w:p>
    <w:p>
      <w:pPr>
        <w:spacing w:before="100"/>
      </w:pPr>
      <w:r>
        <w:t>Describe la estructura de Company Co y sus sedes. El total de personal incluye a las personas registradas como inactivas o en vacaciones; no equivale a la disponibilidad operativa del día.</w:t>
      </w:r>
    </w:p>
    <w:p>
      <w:r>
        <w:rPr>
          <w:sz w:val="18"/>
        </w:rPr>
        <w:t>Referencia temática ISO 9001:2015: 4.4, 5.3, 7.5.</w:t>
      </w:r>
    </w:p>
    <w:p>
      <w:pPr>
        <w:pStyle w:val="Heading1"/>
      </w:pPr>
      <w:r>
        <w:t>Identidad y dimensión</w:t>
      </w:r>
    </w:p>
    <w:p>
      <w:r>
        <w:t>Company Co S.A.S. inició su actividad el 12 de octubre de 2021 en Bogotá, Colombia. Atiende proyectos de cafeterías y comercializa equipos, mobiliario, café e insumos a nivel nacional. Opera con COP, es-CO y zona horaria America/Bogota. Su estructura de referencia incluye 200 registros de empleados y 17 departamentos.</w:t>
      </w:r>
    </w:p>
    <w:p>
      <w:r>
        <w:t>La base de personal contiene 182 personas con estado Activo, 10 con estado Inactivo y 8 en Vacaciones. Se conservan los 200 identificadores únicos para trazabilidad. El dato de 200 corresponde al universo documental de la compañía, mientras la asignación diaria de trabajo comprueba disponibilidad, competencia y autorización.</w:t>
      </w:r>
    </w:p>
    <w:p>
      <w:pPr>
        <w:pStyle w:val="Heading1"/>
      </w:pPr>
      <w:r>
        <w:t>Estructura por departamento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45"/>
        <w:gridCol w:w="1220"/>
        <w:gridCol w:w="4067"/>
        <w:gridCol w:w="2135"/>
      </w:tblGrid>
      <w:tr>
        <w:trPr>
          <w:tblHeader w:val="true"/>
          <w:cantSplit/>
        </w:trPr>
        <w:tc>
          <w:tcPr>
            <w:tcW w:type="dxa" w:w="2745"/>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Departamento</w:t>
            </w:r>
          </w:p>
        </w:tc>
        <w:tc>
          <w:tcPr>
            <w:tcW w:type="dxa" w:w="122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Personas</w:t>
            </w:r>
          </w:p>
        </w:tc>
        <w:tc>
          <w:tcPr>
            <w:tcW w:type="dxa" w:w="406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Líder titular</w:t>
            </w:r>
          </w:p>
        </w:tc>
        <w:tc>
          <w:tcPr>
            <w:tcW w:type="dxa" w:w="2135"/>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Proceso</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Dirección general</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Valentina Ríos</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CC-CP-01</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Finanzas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Mateo Salcedo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CC-CP-02</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14</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Camila Duarte</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CC-CP-03</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Consultoría B2B</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CC-CP-04</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Ventas B2C</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16</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CC-CP-05</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Ventas B2B</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12</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Sebastián Vélez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CC-CP-06</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Marketing</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Laura Pardo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CC-CP-07</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E-commerce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8</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Nicolás Acosta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CC-CP-08</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Compras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CC-CP-09</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Logística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CC-CP-10</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13</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CC-CP-11</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Montaje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11</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CC-CP-12</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Servicio al cliente</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Mariana León</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CC-CP-13</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Tecnología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Santiago Robledo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CC-CP-14</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Diseño de espacios</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12</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CC-CP-15</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Calidad y posventa</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Ricardo Muñoz</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CC-CP-16</w:t>
            </w:r>
          </w:p>
        </w:tc>
      </w:tr>
      <w:tr>
        <w:trPr>
          <w:cantSplit/>
        </w:trPr>
        <w:tc>
          <w:tcPr>
            <w:tcW w:type="dxa" w:w="2745"/>
            <w:vAlign w:val="center"/>
            <w:tcMar>
              <w:top w:w="75" w:type="dxa"/>
              <w:bottom w:w="75" w:type="dxa"/>
              <w:left w:w="90" w:type="dxa"/>
              <w:right w:w="90" w:type="dxa"/>
            </w:tcMar>
          </w:tcPr>
          <w:p>
            <w:pPr>
              <w:keepNext w:val="0"/>
              <w:widowControl/>
              <w:spacing w:before="0" w:after="20" w:line="240" w:lineRule="auto"/>
            </w:pPr>
            <w:r>
              <w:rPr>
                <w:b w:val="0"/>
                <w:color w:val="000000"/>
                <w:sz w:val="18"/>
              </w:rPr>
              <w:t>Legal y cumplimiento</w:t>
            </w:r>
          </w:p>
        </w:tc>
        <w:tc>
          <w:tcPr>
            <w:tcW w:type="dxa" w:w="122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16</w:t>
            </w:r>
          </w:p>
        </w:tc>
        <w:tc>
          <w:tcPr>
            <w:tcW w:type="dxa" w:w="4067"/>
            <w:vAlign w:val="center"/>
            <w:tcMar>
              <w:top w:w="75" w:type="dxa"/>
              <w:bottom w:w="75" w:type="dxa"/>
              <w:left w:w="90" w:type="dxa"/>
              <w:right w:w="90" w:type="dxa"/>
            </w:tcMar>
          </w:tcPr>
          <w:p>
            <w:pPr>
              <w:keepNext w:val="0"/>
              <w:widowControl/>
              <w:spacing w:before="0" w:after="20" w:line="240" w:lineRule="auto"/>
            </w:pPr>
            <w:r>
              <w:rPr>
                <w:b w:val="0"/>
                <w:color w:val="000000"/>
                <w:sz w:val="18"/>
              </w:rPr>
              <w:t>Natalia Escobar</w:t>
            </w:r>
          </w:p>
        </w:tc>
        <w:tc>
          <w:tcPr>
            <w:tcW w:type="dxa" w:w="2135"/>
            <w:vAlign w:val="center"/>
            <w:tcMar>
              <w:top w:w="75" w:type="dxa"/>
              <w:bottom w:w="75" w:type="dxa"/>
              <w:left w:w="90" w:type="dxa"/>
              <w:right w:w="90" w:type="dxa"/>
            </w:tcMar>
          </w:tcPr>
          <w:p>
            <w:pPr>
              <w:keepNext w:val="0"/>
              <w:widowControl/>
              <w:spacing w:before="0" w:after="20" w:line="240" w:lineRule="auto"/>
            </w:pPr>
            <w:r>
              <w:rPr>
                <w:b w:val="0"/>
                <w:color w:val="000000"/>
                <w:sz w:val="18"/>
              </w:rPr>
              <w:t>CC-CP-17</w:t>
            </w:r>
          </w:p>
        </w:tc>
      </w:tr>
    </w:tbl>
    <w:p>
      <w:pPr>
        <w:spacing w:after="20" w:before="0" w:line="240" w:lineRule="auto"/>
      </w:pPr>
      <w:r>
        <w:rPr>
          <w:sz w:val="4"/>
        </w:rPr>
      </w:r>
    </w:p>
    <w:p>
      <w:pPr>
        <w:pStyle w:val="Heading1"/>
      </w:pPr>
      <w:r>
        <w:t>Delegación en Talento humano</w:t>
      </w:r>
    </w:p>
    <w:p>
      <w:r>
        <w:t>Camila Duarte EMP-019 se conserva como líder titular del departamento y figura Inactivo en el registro. La delegación interna DG-2025-017, aprobada por Valentina Ríos el 2025-07-01, asigna a Clara Ramírez EMP-020 la coordinación operativa y el seguimiento de formación. Clara no sustituye la aprobación de Dirección para vinculaciones, presupuesto o cambios de estructura. El registro de personal no se modifica para ocultar esta condición.</w:t>
      </w:r>
    </w:p>
    <w:p>
      <w:pPr>
        <w:pStyle w:val="Heading1"/>
      </w:pPr>
      <w:r>
        <w:t>Sedes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Sede</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Área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Uso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sede administrativa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1.100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Dirección y coordinación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650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demostración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Bogotá bodega</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2.400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Recepción y conservación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Medellín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350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demostración</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Cali showroom</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300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Venta y coordinación regional</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pPr>
            <w:r>
              <w:rPr>
                <w:b w:val="0"/>
                <w:color w:val="000000"/>
                <w:sz w:val="19"/>
              </w:rPr>
              <w:t>Total</w:t>
            </w:r>
          </w:p>
        </w:tc>
        <w:tc>
          <w:tcPr>
            <w:tcW w:type="dxa" w:w="4270"/>
            <w:vAlign w:val="center"/>
            <w:tcMar>
              <w:top w:w="75" w:type="dxa"/>
              <w:bottom w:w="75" w:type="dxa"/>
              <w:left w:w="90" w:type="dxa"/>
              <w:right w:w="90" w:type="dxa"/>
            </w:tcMar>
          </w:tcPr>
          <w:p>
            <w:pPr>
              <w:keepNext w:val="0"/>
              <w:widowControl/>
              <w:spacing w:before="0" w:after="20" w:line="240" w:lineRule="auto"/>
            </w:pPr>
            <w:r>
              <w:rPr>
                <w:b w:val="0"/>
                <w:color w:val="000000"/>
                <w:sz w:val="19"/>
              </w:rPr>
              <w:t>4.800 m²</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Cinco instalaciones</w:t>
            </w:r>
          </w:p>
        </w:tc>
      </w:tr>
    </w:tbl>
    <w:p>
      <w:pPr>
        <w:spacing w:after="20" w:before="0" w:line="240" w:lineRule="auto"/>
      </w:pPr>
      <w:r>
        <w:rPr>
          <w:sz w:val="4"/>
        </w:rPr>
      </w:r>
    </w:p>
    <w:p>
      <w:pPr>
        <w:pStyle w:val="Heading1"/>
      </w:pPr>
      <w:r>
        <w:t>Muestra de personas para trazabilidad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22"/>
        <w:gridCol w:w="2847"/>
        <w:gridCol w:w="3660"/>
        <w:gridCol w:w="2338"/>
      </w:tblGrid>
      <w:tr>
        <w:trPr>
          <w:tblHeader w:val="true"/>
          <w:cantSplit/>
        </w:trPr>
        <w:tc>
          <w:tcPr>
            <w:tcW w:type="dxa" w:w="1322"/>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ID</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Nombre</w:t>
            </w:r>
          </w:p>
        </w:tc>
        <w:tc>
          <w:tcPr>
            <w:tcW w:type="dxa" w:w="366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Departamento</w:t>
            </w:r>
          </w:p>
        </w:tc>
        <w:tc>
          <w:tcPr>
            <w:tcW w:type="dxa" w:w="2338"/>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EMP-001</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Valentina Ríos</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Dirección general</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EMP-009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Mateo Salcedo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Finanzas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EMP-019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Camila Duarte</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Inactivo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EMP-020</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Clara Ramírez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EMP-023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Tomás Peña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Talento humano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Vacaciones</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EMP-033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Andrés Molina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Consultoría B2B</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EMP-051</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Juliana Franco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Ventas B2C</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EMP-067</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Sebastián Vélez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Ventas B2B</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EMP-097</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Compras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EMP-110</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Felipe Ospina</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Logística</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EMP-119</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EMP-132</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Óscar Benítez</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Montaje</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EMP-153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Santiago Robledo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Tecnología</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EMP-163</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Isabel Restrepo</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Diseño de espacios</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r>
        <w:trPr>
          <w:cantSplit/>
        </w:trPr>
        <w:tc>
          <w:tcPr>
            <w:tcW w:type="dxa" w:w="1322"/>
            <w:vAlign w:val="center"/>
            <w:tcMar>
              <w:top w:w="75" w:type="dxa"/>
              <w:bottom w:w="75" w:type="dxa"/>
              <w:left w:w="90" w:type="dxa"/>
              <w:right w:w="90" w:type="dxa"/>
            </w:tcMar>
          </w:tcPr>
          <w:p>
            <w:pPr>
              <w:keepNext w:val="0"/>
              <w:widowControl/>
              <w:spacing w:before="0" w:after="20" w:line="240" w:lineRule="auto"/>
            </w:pPr>
            <w:r>
              <w:rPr>
                <w:b w:val="0"/>
                <w:color w:val="000000"/>
                <w:sz w:val="18"/>
              </w:rPr>
              <w:t>EMP-185</w:t>
            </w:r>
          </w:p>
        </w:tc>
        <w:tc>
          <w:tcPr>
            <w:tcW w:type="dxa" w:w="2847"/>
            <w:vAlign w:val="center"/>
            <w:tcMar>
              <w:top w:w="75" w:type="dxa"/>
              <w:bottom w:w="75" w:type="dxa"/>
              <w:left w:w="90" w:type="dxa"/>
              <w:right w:w="90" w:type="dxa"/>
            </w:tcMar>
          </w:tcPr>
          <w:p>
            <w:pPr>
              <w:keepNext w:val="0"/>
              <w:widowControl/>
              <w:spacing w:before="0" w:after="20" w:line="240" w:lineRule="auto"/>
            </w:pPr>
            <w:r>
              <w:rPr>
                <w:b w:val="0"/>
                <w:color w:val="000000"/>
                <w:sz w:val="18"/>
              </w:rPr>
              <w:t>Natalia Escobar</w:t>
            </w:r>
          </w:p>
        </w:tc>
        <w:tc>
          <w:tcPr>
            <w:tcW w:type="dxa" w:w="3660"/>
            <w:vAlign w:val="center"/>
            <w:tcMar>
              <w:top w:w="75" w:type="dxa"/>
              <w:bottom w:w="75" w:type="dxa"/>
              <w:left w:w="90" w:type="dxa"/>
              <w:right w:w="90" w:type="dxa"/>
            </w:tcMar>
          </w:tcPr>
          <w:p>
            <w:pPr>
              <w:keepNext w:val="0"/>
              <w:widowControl/>
              <w:spacing w:before="0" w:after="20" w:line="240" w:lineRule="auto"/>
            </w:pPr>
            <w:r>
              <w:rPr>
                <w:b w:val="0"/>
                <w:color w:val="000000"/>
                <w:sz w:val="18"/>
              </w:rPr>
              <w:t>Legal y cumplimiento</w:t>
            </w:r>
          </w:p>
        </w:tc>
        <w:tc>
          <w:tcPr>
            <w:tcW w:type="dxa" w:w="2338"/>
            <w:vAlign w:val="center"/>
            <w:tcMar>
              <w:top w:w="75" w:type="dxa"/>
              <w:bottom w:w="75" w:type="dxa"/>
              <w:left w:w="90" w:type="dxa"/>
              <w:right w:w="90" w:type="dxa"/>
            </w:tcMar>
          </w:tcPr>
          <w:p>
            <w:pPr>
              <w:keepNext w:val="0"/>
              <w:widowControl/>
              <w:spacing w:before="0" w:after="20" w:line="240" w:lineRule="auto"/>
            </w:pPr>
            <w:r>
              <w:rPr>
                <w:b w:val="0"/>
                <w:color w:val="000000"/>
                <w:sz w:val="18"/>
              </w:rPr>
              <w:t>Activo</w:t>
            </w:r>
          </w:p>
        </w:tc>
      </w:tr>
    </w:tbl>
    <w:p>
      <w:pPr>
        <w:spacing w:after="20" w:before="0" w:line="240" w:lineRule="auto"/>
      </w:pPr>
      <w:r>
        <w:rPr>
          <w:sz w:val="4"/>
        </w:rPr>
      </w:r>
    </w:p>
    <w:p>
      <w:pPr>
        <w:pStyle w:val="Heading1"/>
      </w:pPr>
      <w:r>
        <w:t>Identificación y acceso</w:t>
      </w:r>
    </w:p>
    <w:p>
      <w:r>
        <w:t>La identidad de una persona se resuelve por su código de empleado. Nombres repetidos, variaciones de tilde o abreviaturas no autorizan fusionar registros. La responsabilidad de un proceso se asigna por función y delegación documentada; un rol de aplicación como superadmin no demuestra competencia para aprobar una operación técnica.</w:t>
      </w:r>
    </w:p>
    <w:p>
      <w:r>
        <w:t>Los alias de correo de la base de referencia no se utilizan para enviar invitaciones ni comunicaciones desde este expediente. La muestra documental omite correos porque no son necesarios para describir los procesos. El registro completo de 200 personas se conserva como archivo estructurado auxiliar de prueba.</w:t>
      </w:r>
    </w:p>
    <w:p>
      <w:pPr>
        <w:pStyle w:val="Heading1"/>
      </w:pPr>
      <w:r>
        <w:t>Documentos relacionados</w:t>
      </w:r>
    </w:p>
    <w:p>
      <w:r>
        <w:t>CC-CP-01 | CC-CP-03 | CC-PR-05</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01</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2025-12-31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Consolidación del expediente al cierre de 2025.</w:t>
            </w:r>
          </w:p>
        </w:tc>
      </w:tr>
    </w:tbl>
    <w:p>
      <w:pPr>
        <w:spacing w:after="20" w:before="0" w:line="240" w:lineRule="auto"/>
      </w:pPr>
      <w:r>
        <w:rPr>
          <w:sz w:val="4"/>
        </w:rPr>
      </w:r>
    </w:p>
    <w:sectPr w:rsidR="00FC693F" w:rsidRPr="0006063C" w:rsidSect="00034616">
      <w:headerReference w:type="default" r:id="rId9"/>
      <w:footerReference w:type="default" r:id="rId10"/>
      <w:pgSz w:w="12240" w:h="15840"/>
      <w:pgMar w:top="950" w:right="1037" w:bottom="965"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05050"/>
        <w:sz w:val="16"/>
      </w:rPr>
      <w:t xml:space="preserve">Expediente ficticio para pruebas  |  CC-AN-01 r01  |  </w:t>
    </w:r>
    <w:r>
      <w:rPr>
        <w:rFonts w:ascii="Liberation Sans" w:hAnsi="Liberation Sans"/>
        <w:color w:val="505050"/>
        <w:sz w:val="16"/>
      </w:rPr>
    </w:r>
    <w:fldSimple w:instr="PAGE">
      <w:r>
        <w:rPr>
          <w:rFonts w:ascii="Liberation Sans" w:hAnsi="Liberation Sans"/>
          <w:sz w:val="16"/>
          <w:color w:val="505050"/>
        </w:rPr>
        <w:t>1</w:t>
      </w:r>
    </w:fldSimple>
    <w:r>
      <w:rPr>
        <w:rFonts w:ascii="Liberation Sans" w:hAnsi="Liberation Sans"/>
        <w:color w:val="505050"/>
        <w:sz w:val="16"/>
      </w:rPr>
      <w:t xml:space="preserve"> / </w:t>
    </w:r>
    <w:r>
      <w:rPr>
        <w:rFonts w:ascii="Liberation Sans" w:hAnsi="Liberation Sans"/>
        <w:color w:val="505050"/>
        <w:sz w:val="16"/>
      </w:rPr>
    </w:r>
    <w:fldSimple w:instr="NUMPAGES">
      <w:r>
        <w:rPr>
          <w:rFonts w:ascii="Liberation Sans" w:hAnsi="Liberation Sans"/>
          <w:sz w:val="16"/>
          <w:color w:val="50505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000000"/>
        <w:sz w:val="16"/>
      </w:rPr>
      <w:t>COMPANY CO S.A.S.    SISTEMA DE GESTIÓN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eastAsia="Liberation Sans"/>
      <w:color w:val="000000"/>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eastAsia="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eastAsia="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ans" w:hAnsi="Liberation Sans" w:eastAsia="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Organización sedes y personal de referencia</dc:title>
  <dc:subject>Conjunto sintético de pruebas de importación documental</dc:subject>
  <dc:creator>Company Co - escenario ficticio</dc:creator>
  <cp:keywords>Company Co; SGC; simulación; ISO 9001; 2025</cp:keywords>
  <dc:description>generated by python-docx</dc:description>
  <cp:lastModifiedBy/>
  <cp:revision>1</cp:revision>
  <dcterms:created xsi:type="dcterms:W3CDTF">2026-10-23T12:00:00Z</dcterms:created>
  <dcterms:modified xsi:type="dcterms:W3CDTF">2026-10-23T12:00:00Z</dcterms:modified>
  <cp:category/>
</cp:coreProperties>
</file>