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Listado maestro de documentos y registros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40"/>
        <w:gridCol w:w="2847"/>
        <w:gridCol w:w="2440"/>
        <w:gridCol w:w="2440"/>
      </w:tblGrid>
      <w:tr>
        <w:trPr>
          <w:tblHeader w:val="true"/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Código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Revisión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Emisión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CC-LM-01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01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2025-12-31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Vigente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spacing w:after="60"/>
      </w:pPr>
      <w:r>
        <w:rPr>
          <w:b/>
        </w:rPr>
        <w:t xml:space="preserve">Tipo y área: </w:t>
      </w:r>
      <w:r>
        <w:t>Listado maestro | Calidad y posventa</w:t>
      </w:r>
    </w:p>
    <w:p>
      <w:pPr>
        <w:spacing w:after="60"/>
      </w:pPr>
      <w:r>
        <w:rPr>
          <w:b/>
        </w:rPr>
        <w:t xml:space="preserve">Responsable: </w:t>
      </w:r>
      <w:r>
        <w:t>Ricardo Muñoz</w:t>
      </w:r>
    </w:p>
    <w:p>
      <w:pPr>
        <w:spacing w:after="60"/>
      </w:pPr>
      <w:r>
        <w:rPr>
          <w:b/>
        </w:rPr>
        <w:t xml:space="preserve">Aprobación interna: </w:t>
      </w:r>
      <w:r>
        <w:t>Valentina Ríos</w:t>
      </w:r>
    </w:p>
    <w:p>
      <w:pPr>
        <w:spacing w:before="100"/>
      </w:pPr>
      <w:r>
        <w:t>Identifica las revisiones de referencia del expediente al 31 de diciembre de 2025. El estado de un registro describe su trámite; no sustituye la revisión de su formato ni la vigencia de un procedimiento.</w:t>
      </w:r>
    </w:p>
    <w:p>
      <w:r>
        <w:rPr>
          <w:sz w:val="18"/>
        </w:rPr>
        <w:t>Referencia temática ISO 9001:2015: 4.4, 5.3, 7.5.</w:t>
      </w:r>
    </w:p>
    <w:p>
      <w:pPr>
        <w:pStyle w:val="Heading1"/>
      </w:pPr>
      <w:r>
        <w:t>Criterio de control</w:t>
      </w:r>
    </w:p>
    <w:p>
      <w:r>
        <w:t>La clave de un documento es su código más la revisión. El nombre de archivo ayuda a localizarlo y no decide su vigencia. Las copias PDF y Word representan el mismo contenido lógico. Una revisión obsoleta se conserva para consulta histórica y no reemplaza a la revisión indicada aquí.</w:t>
      </w:r>
    </w:p>
    <w:p>
      <w:r>
        <w:t>Las fechas de emisión pertenecen a cada documento; el corte del listado es posterior. Los registros cerrados siguen siendo evidencia del caso y los registros con seguimiento abierto conservan sus pendientes. Los formatos vacíos son plantillas vigentes y no evidencian una actividad ejecutada.</w:t>
      </w:r>
    </w:p>
    <w:p>
      <w:pPr>
        <w:pStyle w:val="Heading1"/>
      </w:pPr>
      <w:r>
        <w:t>Documentos controlados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830"/>
        <w:gridCol w:w="4778"/>
        <w:gridCol w:w="1627"/>
        <w:gridCol w:w="1932"/>
      </w:tblGrid>
      <w:tr>
        <w:trPr>
          <w:tblHeader w:val="true"/>
          <w:cantSplit/>
        </w:trPr>
        <w:tc>
          <w:tcPr>
            <w:tcW w:type="dxa" w:w="183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Código y revisión</w:t>
            </w:r>
          </w:p>
        </w:tc>
        <w:tc>
          <w:tcPr>
            <w:tcW w:type="dxa" w:w="47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Título</w:t>
            </w:r>
          </w:p>
        </w:tc>
        <w:tc>
          <w:tcPr>
            <w:tcW w:type="dxa" w:w="162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Emisión</w:t>
            </w:r>
          </w:p>
        </w:tc>
        <w:tc>
          <w:tcPr>
            <w:tcW w:type="dxa" w:w="19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183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CC-MC-01 / 04</w:t>
            </w:r>
          </w:p>
        </w:tc>
        <w:tc>
          <w:tcPr>
            <w:tcW w:type="dxa" w:w="47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Manual del sistema de gestión de la calidad</w:t>
            </w:r>
          </w:p>
        </w:tc>
        <w:tc>
          <w:tcPr>
            <w:tcW w:type="dxa" w:w="162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2025-07-01</w:t>
            </w:r>
          </w:p>
        </w:tc>
        <w:tc>
          <w:tcPr>
            <w:tcW w:type="dxa" w:w="19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Vigente</w:t>
            </w:r>
          </w:p>
        </w:tc>
      </w:tr>
      <w:tr>
        <w:trPr>
          <w:cantSplit/>
        </w:trPr>
        <w:tc>
          <w:tcPr>
            <w:tcW w:type="dxa" w:w="183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CC-MT-01 / 03</w:t>
            </w:r>
          </w:p>
        </w:tc>
        <w:tc>
          <w:tcPr>
            <w:tcW w:type="dxa" w:w="47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Contexto partes interesadas riesgos y oportunidades</w:t>
            </w:r>
          </w:p>
        </w:tc>
        <w:tc>
          <w:tcPr>
            <w:tcW w:type="dxa" w:w="162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2025-12-31</w:t>
            </w:r>
          </w:p>
        </w:tc>
        <w:tc>
          <w:tcPr>
            <w:tcW w:type="dxa" w:w="19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Vigente</w:t>
            </w:r>
          </w:p>
        </w:tc>
      </w:tr>
      <w:tr>
        <w:trPr>
          <w:cantSplit/>
        </w:trPr>
        <w:tc>
          <w:tcPr>
            <w:tcW w:type="dxa" w:w="183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CC-MT-02 / 02</w:t>
            </w:r>
          </w:p>
        </w:tc>
        <w:tc>
          <w:tcPr>
            <w:tcW w:type="dxa" w:w="47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Objetivos e indicadores de calidad</w:t>
            </w:r>
          </w:p>
        </w:tc>
        <w:tc>
          <w:tcPr>
            <w:tcW w:type="dxa" w:w="162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2025-12-31</w:t>
            </w:r>
          </w:p>
        </w:tc>
        <w:tc>
          <w:tcPr>
            <w:tcW w:type="dxa" w:w="19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Vigente</w:t>
            </w:r>
          </w:p>
        </w:tc>
      </w:tr>
      <w:tr>
        <w:trPr>
          <w:cantSplit/>
        </w:trPr>
        <w:tc>
          <w:tcPr>
            <w:tcW w:type="dxa" w:w="183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CC-AN-01 / 01</w:t>
            </w:r>
          </w:p>
        </w:tc>
        <w:tc>
          <w:tcPr>
            <w:tcW w:type="dxa" w:w="47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Organización sedes y personal de referencia</w:t>
            </w:r>
          </w:p>
        </w:tc>
        <w:tc>
          <w:tcPr>
            <w:tcW w:type="dxa" w:w="162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2025-12-31</w:t>
            </w:r>
          </w:p>
        </w:tc>
        <w:tc>
          <w:tcPr>
            <w:tcW w:type="dxa" w:w="19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Vigente</w:t>
            </w:r>
          </w:p>
        </w:tc>
      </w:tr>
      <w:tr>
        <w:trPr>
          <w:cantSplit/>
        </w:trPr>
        <w:tc>
          <w:tcPr>
            <w:tcW w:type="dxa" w:w="183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CC-CP-01 / 04</w:t>
            </w:r>
          </w:p>
        </w:tc>
        <w:tc>
          <w:tcPr>
            <w:tcW w:type="dxa" w:w="47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Dirección y gestión del sistema de calidad</w:t>
            </w:r>
          </w:p>
        </w:tc>
        <w:tc>
          <w:tcPr>
            <w:tcW w:type="dxa" w:w="162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2025-10-06</w:t>
            </w:r>
          </w:p>
        </w:tc>
        <w:tc>
          <w:tcPr>
            <w:tcW w:type="dxa" w:w="19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Vigente</w:t>
            </w:r>
          </w:p>
        </w:tc>
      </w:tr>
      <w:tr>
        <w:trPr>
          <w:cantSplit/>
        </w:trPr>
        <w:tc>
          <w:tcPr>
            <w:tcW w:type="dxa" w:w="183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CC-CP-02 / 03</w:t>
            </w:r>
          </w:p>
        </w:tc>
        <w:tc>
          <w:tcPr>
            <w:tcW w:type="dxa" w:w="47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Gestión financiera facturación y cartera</w:t>
            </w:r>
          </w:p>
        </w:tc>
        <w:tc>
          <w:tcPr>
            <w:tcW w:type="dxa" w:w="162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2025-07-14</w:t>
            </w:r>
          </w:p>
        </w:tc>
        <w:tc>
          <w:tcPr>
            <w:tcW w:type="dxa" w:w="19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Vigente</w:t>
            </w:r>
          </w:p>
        </w:tc>
      </w:tr>
      <w:tr>
        <w:trPr>
          <w:cantSplit/>
        </w:trPr>
        <w:tc>
          <w:tcPr>
            <w:tcW w:type="dxa" w:w="183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CC-CP-03 / 05</w:t>
            </w:r>
          </w:p>
        </w:tc>
        <w:tc>
          <w:tcPr>
            <w:tcW w:type="dxa" w:w="47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Gestión de personas competencia y conocimiento</w:t>
            </w:r>
          </w:p>
        </w:tc>
        <w:tc>
          <w:tcPr>
            <w:tcW w:type="dxa" w:w="162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2025-09-15</w:t>
            </w:r>
          </w:p>
        </w:tc>
        <w:tc>
          <w:tcPr>
            <w:tcW w:type="dxa" w:w="19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Vigente</w:t>
            </w:r>
          </w:p>
        </w:tc>
      </w:tr>
      <w:tr>
        <w:trPr>
          <w:cantSplit/>
        </w:trPr>
        <w:tc>
          <w:tcPr>
            <w:tcW w:type="dxa" w:w="183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CC-CP-04 / 03</w:t>
            </w:r>
          </w:p>
        </w:tc>
        <w:tc>
          <w:tcPr>
            <w:tcW w:type="dxa" w:w="47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Consultoría para proyectos de cafeterías</w:t>
            </w:r>
          </w:p>
        </w:tc>
        <w:tc>
          <w:tcPr>
            <w:tcW w:type="dxa" w:w="162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2025-05-12</w:t>
            </w:r>
          </w:p>
        </w:tc>
        <w:tc>
          <w:tcPr>
            <w:tcW w:type="dxa" w:w="19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Vigente</w:t>
            </w:r>
          </w:p>
        </w:tc>
      </w:tr>
      <w:tr>
        <w:trPr>
          <w:cantSplit/>
        </w:trPr>
        <w:tc>
          <w:tcPr>
            <w:tcW w:type="dxa" w:w="183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CC-CP-05 / 04</w:t>
            </w:r>
          </w:p>
        </w:tc>
        <w:tc>
          <w:tcPr>
            <w:tcW w:type="dxa" w:w="47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Venta en tiendas y atención comercial B2C</w:t>
            </w:r>
          </w:p>
        </w:tc>
        <w:tc>
          <w:tcPr>
            <w:tcW w:type="dxa" w:w="162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2025-06-03</w:t>
            </w:r>
          </w:p>
        </w:tc>
        <w:tc>
          <w:tcPr>
            <w:tcW w:type="dxa" w:w="19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Vigente</w:t>
            </w:r>
          </w:p>
        </w:tc>
      </w:tr>
      <w:tr>
        <w:trPr>
          <w:cantSplit/>
        </w:trPr>
        <w:tc>
          <w:tcPr>
            <w:tcW w:type="dxa" w:w="183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CC-CP-06 / 05</w:t>
            </w:r>
          </w:p>
        </w:tc>
        <w:tc>
          <w:tcPr>
            <w:tcW w:type="dxa" w:w="47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Venta consultiva y contratación B2B</w:t>
            </w:r>
          </w:p>
        </w:tc>
        <w:tc>
          <w:tcPr>
            <w:tcW w:type="dxa" w:w="162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2025-04-22</w:t>
            </w:r>
          </w:p>
        </w:tc>
        <w:tc>
          <w:tcPr>
            <w:tcW w:type="dxa" w:w="19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Vigente</w:t>
            </w:r>
          </w:p>
        </w:tc>
      </w:tr>
      <w:tr>
        <w:trPr>
          <w:cantSplit/>
        </w:trPr>
        <w:tc>
          <w:tcPr>
            <w:tcW w:type="dxa" w:w="183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CC-CP-07 / 02</w:t>
            </w:r>
          </w:p>
        </w:tc>
        <w:tc>
          <w:tcPr>
            <w:tcW w:type="dxa" w:w="47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Marketing y comunicación de la oferta</w:t>
            </w:r>
          </w:p>
        </w:tc>
        <w:tc>
          <w:tcPr>
            <w:tcW w:type="dxa" w:w="162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2025-03-17</w:t>
            </w:r>
          </w:p>
        </w:tc>
        <w:tc>
          <w:tcPr>
            <w:tcW w:type="dxa" w:w="19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Vigente</w:t>
            </w:r>
          </w:p>
        </w:tc>
      </w:tr>
      <w:tr>
        <w:trPr>
          <w:cantSplit/>
        </w:trPr>
        <w:tc>
          <w:tcPr>
            <w:tcW w:type="dxa" w:w="183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CC-CP-08 / 04</w:t>
            </w:r>
          </w:p>
        </w:tc>
        <w:tc>
          <w:tcPr>
            <w:tcW w:type="dxa" w:w="47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Operación de comercio electrónico</w:t>
            </w:r>
          </w:p>
        </w:tc>
        <w:tc>
          <w:tcPr>
            <w:tcW w:type="dxa" w:w="162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2025-07-07</w:t>
            </w:r>
          </w:p>
        </w:tc>
        <w:tc>
          <w:tcPr>
            <w:tcW w:type="dxa" w:w="19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Vigente</w:t>
            </w:r>
          </w:p>
        </w:tc>
      </w:tr>
      <w:tr>
        <w:trPr>
          <w:cantSplit/>
        </w:trPr>
        <w:tc>
          <w:tcPr>
            <w:tcW w:type="dxa" w:w="183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CC-CP-09 / 06</w:t>
            </w:r>
          </w:p>
        </w:tc>
        <w:tc>
          <w:tcPr>
            <w:tcW w:type="dxa" w:w="47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Compras y desarrollo de proveedores</w:t>
            </w:r>
          </w:p>
        </w:tc>
        <w:tc>
          <w:tcPr>
            <w:tcW w:type="dxa" w:w="162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2025-08-11</w:t>
            </w:r>
          </w:p>
        </w:tc>
        <w:tc>
          <w:tcPr>
            <w:tcW w:type="dxa" w:w="19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Vigente</w:t>
            </w:r>
          </w:p>
        </w:tc>
      </w:tr>
      <w:tr>
        <w:trPr>
          <w:cantSplit/>
        </w:trPr>
        <w:tc>
          <w:tcPr>
            <w:tcW w:type="dxa" w:w="183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CC-CP-10 / 04</w:t>
            </w:r>
          </w:p>
        </w:tc>
        <w:tc>
          <w:tcPr>
            <w:tcW w:type="dxa" w:w="47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Despacho transporte y entrega</w:t>
            </w:r>
          </w:p>
        </w:tc>
        <w:tc>
          <w:tcPr>
            <w:tcW w:type="dxa" w:w="162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2025-09-01</w:t>
            </w:r>
          </w:p>
        </w:tc>
        <w:tc>
          <w:tcPr>
            <w:tcW w:type="dxa" w:w="19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Vigente</w:t>
            </w:r>
          </w:p>
        </w:tc>
      </w:tr>
      <w:tr>
        <w:trPr>
          <w:cantSplit/>
        </w:trPr>
        <w:tc>
          <w:tcPr>
            <w:tcW w:type="dxa" w:w="183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CC-CP-11 / 05</w:t>
            </w:r>
          </w:p>
        </w:tc>
        <w:tc>
          <w:tcPr>
            <w:tcW w:type="dxa" w:w="47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Recepción almacenamiento y control de inventario</w:t>
            </w:r>
          </w:p>
        </w:tc>
        <w:tc>
          <w:tcPr>
            <w:tcW w:type="dxa" w:w="162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2025-08-18</w:t>
            </w:r>
          </w:p>
        </w:tc>
        <w:tc>
          <w:tcPr>
            <w:tcW w:type="dxa" w:w="19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Vigente</w:t>
            </w:r>
          </w:p>
        </w:tc>
      </w:tr>
      <w:tr>
        <w:trPr>
          <w:cantSplit/>
        </w:trPr>
        <w:tc>
          <w:tcPr>
            <w:tcW w:type="dxa" w:w="183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CC-CP-12 / 04</w:t>
            </w:r>
          </w:p>
        </w:tc>
        <w:tc>
          <w:tcPr>
            <w:tcW w:type="dxa" w:w="47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Montaje puesta en servicio y entrega técnica</w:t>
            </w:r>
          </w:p>
        </w:tc>
        <w:tc>
          <w:tcPr>
            <w:tcW w:type="dxa" w:w="162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2025-09-08</w:t>
            </w:r>
          </w:p>
        </w:tc>
        <w:tc>
          <w:tcPr>
            <w:tcW w:type="dxa" w:w="19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Vigente</w:t>
            </w:r>
          </w:p>
        </w:tc>
      </w:tr>
      <w:tr>
        <w:trPr>
          <w:cantSplit/>
        </w:trPr>
        <w:tc>
          <w:tcPr>
            <w:tcW w:type="dxa" w:w="183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CC-CP-13 / 03</w:t>
            </w:r>
          </w:p>
        </w:tc>
        <w:tc>
          <w:tcPr>
            <w:tcW w:type="dxa" w:w="47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Atención al cliente y gestión de solicitudes</w:t>
            </w:r>
          </w:p>
        </w:tc>
        <w:tc>
          <w:tcPr>
            <w:tcW w:type="dxa" w:w="162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2025-06-16</w:t>
            </w:r>
          </w:p>
        </w:tc>
        <w:tc>
          <w:tcPr>
            <w:tcW w:type="dxa" w:w="19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Vigente</w:t>
            </w:r>
          </w:p>
        </w:tc>
      </w:tr>
      <w:tr>
        <w:trPr>
          <w:cantSplit/>
        </w:trPr>
        <w:tc>
          <w:tcPr>
            <w:tcW w:type="dxa" w:w="183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CC-CP-14 / 03</w:t>
            </w:r>
          </w:p>
        </w:tc>
        <w:tc>
          <w:tcPr>
            <w:tcW w:type="dxa" w:w="47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Tecnología continuidad y control de información</w:t>
            </w:r>
          </w:p>
        </w:tc>
        <w:tc>
          <w:tcPr>
            <w:tcW w:type="dxa" w:w="162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2025-08-04</w:t>
            </w:r>
          </w:p>
        </w:tc>
        <w:tc>
          <w:tcPr>
            <w:tcW w:type="dxa" w:w="19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Vigente</w:t>
            </w:r>
          </w:p>
        </w:tc>
      </w:tr>
      <w:tr>
        <w:trPr>
          <w:cantSplit/>
        </w:trPr>
        <w:tc>
          <w:tcPr>
            <w:tcW w:type="dxa" w:w="183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CC-CP-15 / 05</w:t>
            </w:r>
          </w:p>
        </w:tc>
        <w:tc>
          <w:tcPr>
            <w:tcW w:type="dxa" w:w="47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Diseño de espacios y soluciones para cafeterías</w:t>
            </w:r>
          </w:p>
        </w:tc>
        <w:tc>
          <w:tcPr>
            <w:tcW w:type="dxa" w:w="162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2025-07-21</w:t>
            </w:r>
          </w:p>
        </w:tc>
        <w:tc>
          <w:tcPr>
            <w:tcW w:type="dxa" w:w="19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Vigente</w:t>
            </w:r>
          </w:p>
        </w:tc>
      </w:tr>
      <w:tr>
        <w:trPr>
          <w:cantSplit/>
        </w:trPr>
        <w:tc>
          <w:tcPr>
            <w:tcW w:type="dxa" w:w="183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CC-CP-16 / 04</w:t>
            </w:r>
          </w:p>
        </w:tc>
        <w:tc>
          <w:tcPr>
            <w:tcW w:type="dxa" w:w="47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Aseguramiento de calidad y servicio de posventa</w:t>
            </w:r>
          </w:p>
        </w:tc>
        <w:tc>
          <w:tcPr>
            <w:tcW w:type="dxa" w:w="162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2025-11-03</w:t>
            </w:r>
          </w:p>
        </w:tc>
        <w:tc>
          <w:tcPr>
            <w:tcW w:type="dxa" w:w="19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Vigente</w:t>
            </w:r>
          </w:p>
        </w:tc>
      </w:tr>
      <w:tr>
        <w:trPr>
          <w:cantSplit/>
        </w:trPr>
        <w:tc>
          <w:tcPr>
            <w:tcW w:type="dxa" w:w="183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CC-CP-17 / 02</w:t>
            </w:r>
          </w:p>
        </w:tc>
        <w:tc>
          <w:tcPr>
            <w:tcW w:type="dxa" w:w="47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Gestión contractual y seguimiento de compromisos</w:t>
            </w:r>
          </w:p>
        </w:tc>
        <w:tc>
          <w:tcPr>
            <w:tcW w:type="dxa" w:w="162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2025-05-19</w:t>
            </w:r>
          </w:p>
        </w:tc>
        <w:tc>
          <w:tcPr>
            <w:tcW w:type="dxa" w:w="19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Vigente</w:t>
            </w:r>
          </w:p>
        </w:tc>
      </w:tr>
      <w:tr>
        <w:trPr>
          <w:cantSplit/>
        </w:trPr>
        <w:tc>
          <w:tcPr>
            <w:tcW w:type="dxa" w:w="183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CC-PR-01 / 03</w:t>
            </w:r>
          </w:p>
        </w:tc>
        <w:tc>
          <w:tcPr>
            <w:tcW w:type="dxa" w:w="47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Control de documentos y registros</w:t>
            </w:r>
          </w:p>
        </w:tc>
        <w:tc>
          <w:tcPr>
            <w:tcW w:type="dxa" w:w="162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2025-05-05</w:t>
            </w:r>
          </w:p>
        </w:tc>
        <w:tc>
          <w:tcPr>
            <w:tcW w:type="dxa" w:w="19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Vigente</w:t>
            </w:r>
          </w:p>
        </w:tc>
      </w:tr>
      <w:tr>
        <w:trPr>
          <w:cantSplit/>
        </w:trPr>
        <w:tc>
          <w:tcPr>
            <w:tcW w:type="dxa" w:w="183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CC-PR-02 / 02</w:t>
            </w:r>
          </w:p>
        </w:tc>
        <w:tc>
          <w:tcPr>
            <w:tcW w:type="dxa" w:w="47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Gestión de riesgos oportunidades y cambios</w:t>
            </w:r>
          </w:p>
        </w:tc>
        <w:tc>
          <w:tcPr>
            <w:tcW w:type="dxa" w:w="162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2025-04-08</w:t>
            </w:r>
          </w:p>
        </w:tc>
        <w:tc>
          <w:tcPr>
            <w:tcW w:type="dxa" w:w="19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Vigente</w:t>
            </w:r>
          </w:p>
        </w:tc>
      </w:tr>
      <w:tr>
        <w:trPr>
          <w:cantSplit/>
        </w:trPr>
        <w:tc>
          <w:tcPr>
            <w:tcW w:type="dxa" w:w="183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CC-PR-03 / 02</w:t>
            </w:r>
          </w:p>
        </w:tc>
        <w:tc>
          <w:tcPr>
            <w:tcW w:type="dxa" w:w="47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Auditoría interna del sistema de calidad</w:t>
            </w:r>
          </w:p>
        </w:tc>
        <w:tc>
          <w:tcPr>
            <w:tcW w:type="dxa" w:w="162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2025-03-03</w:t>
            </w:r>
          </w:p>
        </w:tc>
        <w:tc>
          <w:tcPr>
            <w:tcW w:type="dxa" w:w="19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Vigente</w:t>
            </w:r>
          </w:p>
        </w:tc>
      </w:tr>
      <w:tr>
        <w:trPr>
          <w:cantSplit/>
        </w:trPr>
        <w:tc>
          <w:tcPr>
            <w:tcW w:type="dxa" w:w="183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CC-PR-04 / 03</w:t>
            </w:r>
          </w:p>
        </w:tc>
        <w:tc>
          <w:tcPr>
            <w:tcW w:type="dxa" w:w="47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Salidas no conformes y acciones correctivas</w:t>
            </w:r>
          </w:p>
        </w:tc>
        <w:tc>
          <w:tcPr>
            <w:tcW w:type="dxa" w:w="162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2025-06-16</w:t>
            </w:r>
          </w:p>
        </w:tc>
        <w:tc>
          <w:tcPr>
            <w:tcW w:type="dxa" w:w="19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Vigente</w:t>
            </w:r>
          </w:p>
        </w:tc>
      </w:tr>
      <w:tr>
        <w:trPr>
          <w:cantSplit/>
        </w:trPr>
        <w:tc>
          <w:tcPr>
            <w:tcW w:type="dxa" w:w="183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CC-PR-05 / 02</w:t>
            </w:r>
          </w:p>
        </w:tc>
        <w:tc>
          <w:tcPr>
            <w:tcW w:type="dxa" w:w="47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Competencia formación y conocimiento operativo</w:t>
            </w:r>
          </w:p>
        </w:tc>
        <w:tc>
          <w:tcPr>
            <w:tcW w:type="dxa" w:w="162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2025-07-07</w:t>
            </w:r>
          </w:p>
        </w:tc>
        <w:tc>
          <w:tcPr>
            <w:tcW w:type="dxa" w:w="19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Vigente</w:t>
            </w:r>
          </w:p>
        </w:tc>
      </w:tr>
      <w:tr>
        <w:trPr>
          <w:cantSplit/>
        </w:trPr>
        <w:tc>
          <w:tcPr>
            <w:tcW w:type="dxa" w:w="183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CC-RG-01 / 02</w:t>
            </w:r>
          </w:p>
        </w:tc>
        <w:tc>
          <w:tcPr>
            <w:tcW w:type="dxa" w:w="47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Expediente comercial y de diseño PRJ 005</w:t>
            </w:r>
          </w:p>
        </w:tc>
        <w:tc>
          <w:tcPr>
            <w:tcW w:type="dxa" w:w="162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2025-08-26</w:t>
            </w:r>
          </w:p>
        </w:tc>
        <w:tc>
          <w:tcPr>
            <w:tcW w:type="dxa" w:w="19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Cerrado</w:t>
            </w:r>
          </w:p>
        </w:tc>
      </w:tr>
      <w:tr>
        <w:trPr>
          <w:cantSplit/>
        </w:trPr>
        <w:tc>
          <w:tcPr>
            <w:tcW w:type="dxa" w:w="183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CC-RG-02 / 01</w:t>
            </w:r>
          </w:p>
        </w:tc>
        <w:tc>
          <w:tcPr>
            <w:tcW w:type="dxa" w:w="47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Compras recepción y entrega PRJ 005</w:t>
            </w:r>
          </w:p>
        </w:tc>
        <w:tc>
          <w:tcPr>
            <w:tcW w:type="dxa" w:w="162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2025-09-15</w:t>
            </w:r>
          </w:p>
        </w:tc>
        <w:tc>
          <w:tcPr>
            <w:tcW w:type="dxa" w:w="19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Cerrado</w:t>
            </w:r>
          </w:p>
        </w:tc>
      </w:tr>
      <w:tr>
        <w:trPr>
          <w:cantSplit/>
        </w:trPr>
        <w:tc>
          <w:tcPr>
            <w:tcW w:type="dxa" w:w="183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CC-RG-03 / 02</w:t>
            </w:r>
          </w:p>
        </w:tc>
        <w:tc>
          <w:tcPr>
            <w:tcW w:type="dxa" w:w="47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Montaje liberación y posventa PRJ 005</w:t>
            </w:r>
          </w:p>
        </w:tc>
        <w:tc>
          <w:tcPr>
            <w:tcW w:type="dxa" w:w="162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2025-10-03</w:t>
            </w:r>
          </w:p>
        </w:tc>
        <w:tc>
          <w:tcPr>
            <w:tcW w:type="dxa" w:w="19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Cerrado</w:t>
            </w:r>
          </w:p>
        </w:tc>
      </w:tr>
      <w:tr>
        <w:trPr>
          <w:cantSplit/>
        </w:trPr>
        <w:tc>
          <w:tcPr>
            <w:tcW w:type="dxa" w:w="183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CC-RG-04 / 02</w:t>
            </w:r>
          </w:p>
        </w:tc>
        <w:tc>
          <w:tcPr>
            <w:tcW w:type="dxa" w:w="47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Auditoría interna y seguimiento de acciones</w:t>
            </w:r>
          </w:p>
        </w:tc>
        <w:tc>
          <w:tcPr>
            <w:tcW w:type="dxa" w:w="162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2025-12-18</w:t>
            </w:r>
          </w:p>
        </w:tc>
        <w:tc>
          <w:tcPr>
            <w:tcW w:type="dxa" w:w="19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Seguimiento abierto</w:t>
            </w:r>
          </w:p>
        </w:tc>
      </w:tr>
      <w:tr>
        <w:trPr>
          <w:cantSplit/>
        </w:trPr>
        <w:tc>
          <w:tcPr>
            <w:tcW w:type="dxa" w:w="183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CC-RG-05 / 03</w:t>
            </w:r>
          </w:p>
        </w:tc>
        <w:tc>
          <w:tcPr>
            <w:tcW w:type="dxa" w:w="47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Formación y equipos de seguimiento</w:t>
            </w:r>
          </w:p>
        </w:tc>
        <w:tc>
          <w:tcPr>
            <w:tcW w:type="dxa" w:w="162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2025-12-18</w:t>
            </w:r>
          </w:p>
        </w:tc>
        <w:tc>
          <w:tcPr>
            <w:tcW w:type="dxa" w:w="19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Vigente</w:t>
            </w:r>
          </w:p>
        </w:tc>
      </w:tr>
      <w:tr>
        <w:trPr>
          <w:cantSplit/>
        </w:trPr>
        <w:tc>
          <w:tcPr>
            <w:tcW w:type="dxa" w:w="183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CC-FO-01 / 03</w:t>
            </w:r>
          </w:p>
        </w:tc>
        <w:tc>
          <w:tcPr>
            <w:tcW w:type="dxa" w:w="47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Solicitud de cambio y liberación</w:t>
            </w:r>
          </w:p>
        </w:tc>
        <w:tc>
          <w:tcPr>
            <w:tcW w:type="dxa" w:w="162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2025-06-02</w:t>
            </w:r>
          </w:p>
        </w:tc>
        <w:tc>
          <w:tcPr>
            <w:tcW w:type="dxa" w:w="19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Vigente</w:t>
            </w:r>
          </w:p>
        </w:tc>
      </w:tr>
      <w:tr>
        <w:trPr>
          <w:cantSplit/>
        </w:trPr>
        <w:tc>
          <w:tcPr>
            <w:tcW w:type="dxa" w:w="183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CC-FO-02 / 04</w:t>
            </w:r>
          </w:p>
        </w:tc>
        <w:tc>
          <w:tcPr>
            <w:tcW w:type="dxa" w:w="47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Reporte de no conformidad</w:t>
            </w:r>
          </w:p>
        </w:tc>
        <w:tc>
          <w:tcPr>
            <w:tcW w:type="dxa" w:w="162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2025-07-01</w:t>
            </w:r>
          </w:p>
        </w:tc>
        <w:tc>
          <w:tcPr>
            <w:tcW w:type="dxa" w:w="19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Vigente</w:t>
            </w:r>
          </w:p>
        </w:tc>
      </w:tr>
      <w:tr>
        <w:trPr>
          <w:cantSplit/>
        </w:trPr>
        <w:tc>
          <w:tcPr>
            <w:tcW w:type="dxa" w:w="183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CC-AC-01 / 01</w:t>
            </w:r>
          </w:p>
        </w:tc>
        <w:tc>
          <w:tcPr>
            <w:tcW w:type="dxa" w:w="47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Revisión por la dirección diciembre 2025</w:t>
            </w:r>
          </w:p>
        </w:tc>
        <w:tc>
          <w:tcPr>
            <w:tcW w:type="dxa" w:w="162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2025-12-15</w:t>
            </w:r>
          </w:p>
        </w:tc>
        <w:tc>
          <w:tcPr>
            <w:tcW w:type="dxa" w:w="19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Vigente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1"/>
      </w:pPr>
      <w:r>
        <w:t>Listado y responsables</w:t>
      </w:r>
    </w:p>
    <w:p>
      <w:r>
        <w:t>Este listado CC-LM-01, revisión 01 de 2025-12-31, también forma parte del expediente. Ricardo Muñoz administra su actualización y Valentina Ríos aprueba el cierre del conjunto. El propietario que aparece en cada documento es responsable de solicitar cambios y comunicar su aplicación.</w:t>
      </w:r>
    </w:p>
    <w:p>
      <w:r>
        <w:t>Una referencia antigua puede aparecer en un registro histórico y se conserva literalmente. La revisión vigente se consulta en este listado, sin reescribir la evidencia de lo que la persona utilizó. Las limitaciones y documentos externos no incluidos permanecen expresamente indicados en cada expediente.</w:t>
      </w:r>
    </w:p>
    <w:p>
      <w:pPr>
        <w:pStyle w:val="Heading1"/>
      </w:pPr>
      <w:r>
        <w:t>Documentos relacionados</w:t>
      </w:r>
    </w:p>
    <w:p>
      <w:r>
        <w:t>CC-PR-01</w:t>
      </w:r>
    </w:p>
    <w:p>
      <w:pPr>
        <w:pStyle w:val="Heading1"/>
      </w:pPr>
      <w:r>
        <w:t>Historial de cambios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643"/>
        <w:gridCol w:w="4270"/>
        <w:gridCol w:w="3253"/>
      </w:tblGrid>
      <w:tr>
        <w:trPr>
          <w:tblHeader w:val="true"/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Revisión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Fecha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Cambio registrado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01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2025-12-31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Consolidación del expediente al cierre de 2025.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1037" w:bottom="965" w:left="1037" w:header="374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505050"/>
        <w:sz w:val="16"/>
      </w:rPr>
      <w:t xml:space="preserve">Expediente ficticio para pruebas  |  CC-LM-01 r01  |  </w:t>
    </w:r>
    <w:r>
      <w:rPr>
        <w:rFonts w:ascii="Liberation Sans" w:hAnsi="Liberation Sans"/>
        <w:color w:val="505050"/>
        <w:sz w:val="16"/>
      </w:rPr>
    </w:r>
    <w:fldSimple w:instr="PAGE">
      <w:r>
        <w:rPr>
          <w:rFonts w:ascii="Liberation Sans" w:hAnsi="Liberation Sans"/>
          <w:sz w:val="16"/>
          <w:color w:val="505050"/>
        </w:rPr>
        <w:t>1</w:t>
      </w:r>
    </w:fldSimple>
    <w:r>
      <w:rPr>
        <w:rFonts w:ascii="Liberation Sans" w:hAnsi="Liberation Sans"/>
        <w:color w:val="505050"/>
        <w:sz w:val="16"/>
      </w:rPr>
      <w:t xml:space="preserve"> / </w:t>
    </w:r>
    <w:r>
      <w:rPr>
        <w:rFonts w:ascii="Liberation Sans" w:hAnsi="Liberation Sans"/>
        <w:color w:val="505050"/>
        <w:sz w:val="16"/>
      </w:rPr>
    </w:r>
    <w:fldSimple w:instr="NUMPAGES">
      <w:r>
        <w:rPr>
          <w:rFonts w:ascii="Liberation Sans" w:hAnsi="Liberation Sans"/>
          <w:sz w:val="16"/>
          <w:color w:val="505050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Liberation Sans" w:hAnsi="Liberation Sans"/>
        <w:color w:val="000000"/>
        <w:sz w:val="16"/>
      </w:rPr>
      <w:t>COMPANY CO S.A.S.    SISTEMA DE GESTIÓN DE LA CALIDAD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4" w:lineRule="auto"/>
    </w:pPr>
    <w:rPr>
      <w:rFonts w:ascii="Liberation Sans" w:hAnsi="Liberation Sans" w:eastAsia="Liberation Sans"/>
      <w:color w:val="000000"/>
      <w:sz w:val="21"/>
      <w:lang w:val="es-C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 w:eastAsia="Liberation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 w:eastAsia="Liberation Sans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Liberation Sans" w:hAnsi="Liberation Sans" w:eastAsia="Liberation Sans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Liberation Sans" w:hAnsi="Liberation Sans" w:eastAsia="Liberation Sans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 w:eastAsia="Liberation San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Listado maestro de documentos y registros</dc:title>
  <dc:subject>Conjunto sintético de pruebas de importación documental</dc:subject>
  <dc:creator>Company Co - escenario ficticio</dc:creator>
  <cp:keywords>Company Co; SGC; simulación; ISO 9001; 2025</cp:keywords>
  <dc:description>generated by python-docx</dc:description>
  <cp:lastModifiedBy/>
  <cp:revision>1</cp:revision>
  <dcterms:created xsi:type="dcterms:W3CDTF">2026-10-23T12:00:00Z</dcterms:created>
  <dcterms:modified xsi:type="dcterms:W3CDTF">2026-10-23T12:00:00Z</dcterms:modified>
  <cp:category/>
</cp:coreProperties>
</file>