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Objetivos e indicadores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CC-MT-02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Matriz | Dirección general</w:t>
      </w:r>
    </w:p>
    <w:p>
      <w:pPr>
        <w:spacing w:after="60"/>
      </w:pPr>
      <w:r>
        <w:rPr>
          <w:b/>
        </w:rPr>
        <w:t xml:space="preserve">Responsable: </w:t>
      </w:r>
      <w:r>
        <w:t>Valentina Ríos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Define objetivos, fórmulas, líneas base, metas y responsables del seguimiento. Permite identificar si el resultado pertenece a un cierre anual o a un corte parcial.</w:t>
      </w:r>
    </w:p>
    <w:p>
      <w:r>
        <w:rPr>
          <w:sz w:val="18"/>
        </w:rPr>
        <w:t>Referencia temática ISO 9001:2015: 6.2, 9.1, 9.3.</w:t>
      </w:r>
    </w:p>
    <w:p>
      <w:pPr>
        <w:pStyle w:val="Heading1"/>
      </w:pPr>
      <w:r>
        <w:t>Corte y reglas de lectura</w:t>
      </w:r>
    </w:p>
    <w:p>
      <w:r>
        <w:t>La tabla reúne el cierre sintético de 2025 y metas internas de 2026. Las líneas base de entrega oportuna, satisfacción y devoluciones provienen de la compañía de referencia; los conteos que las sustentan en esta matriz son registros simulados nuevos. Los indicadores operativos pueden tener universos distintos: una entrega no equivale necesariamente a un pedido y una reclamación no equivale a una devolución.</w:t>
      </w:r>
    </w:p>
    <w:p>
      <w:r>
        <w:t>Cada líder conserva numerador, denominador, período y fuente. Un resultado sin denominador se reporta como no calculable. Si la meta no se cumple, el líder registra causa, acción y fecha; si existe efecto repetitivo en conformidad se aplica CC-PR-04.</w:t>
      </w:r>
    </w:p>
    <w:p>
      <w:pPr>
        <w:pStyle w:val="Heading1"/>
      </w:pPr>
      <w:r>
        <w:t>Objetivos y metas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Objetivo e indicador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Fórmula y cierre 2025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Meta 2026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Dueño y frecuencia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Entrega confiable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Entregas a tiempo / entregas comprometidas: 5.520 / 6.000 = 92 %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Al menos 95 %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Felipe Ospina; mensual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Satisfacción del cliente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Puntos obtenidos / puntos posibles por 100: 43.000 / 50.000 = 86/100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Al menos 90/100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Mariana León; mensual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Menos devoluciones B2C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Órdenes B2C con devolución / órdenes B2C registradas: 192 / 6.000 = 3,2 %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3 % o menos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Juliana Franco; mensual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Diseño liberado sin retrabajo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Diseños aceptados a primera revisión / revisados: 126 / 144 = 87,5 %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Al menos 92 %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Isabel Restrepo; trimestral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Acciones correctivas oportunas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Acciones cerradas dentro del plazo / que vencían: 18 / 20 = 90 %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Al menos 95 %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Ricardo Muñoz; mensual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Competencia crítica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Asignados con competencia vigente / asignados: 39 / 40 = 97,5 %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100 %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Clara Ramírez; mensual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Aprobación documental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Documentos muestreados con control completo / muestreados: 49 / 50 = 98 %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Al menos 98 %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Ricardo Muñoz; mensual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Tendencia de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Período 2025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A tiempo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Comprometidas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Trimestre 1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1.260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1.400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90,0 %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Trimestre 2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1.380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1.500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92,0 %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Trimestre 3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1.392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1.500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92,8 %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Trimestre 4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1.488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1.600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93,0 %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Total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5.520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6.000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92,0 %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Plan para los desvíos</w:t>
      </w:r>
    </w:p>
    <w:p>
      <w:pPr>
        <w:pStyle w:val="ListBullet"/>
      </w:pPr>
      <w:r>
        <w:t>Entrega: confirmar fecha según disponibilidad real y medir causa de cada demora. Logística propone piloto de consolidación de rutas para febrero de 2026. La mejora se valida sin trasladar un retraso al cliente.</w:t>
      </w:r>
    </w:p>
    <w:p>
      <w:pPr>
        <w:pStyle w:val="ListBullet"/>
      </w:pPr>
      <w:r>
        <w:t>Satisfacción: reducir tiempos de respuesta de posventa y comunicar pendientes con fecha comprometida. Servicio al cliente revisará una muestra de reclamos repetidos.</w:t>
      </w:r>
    </w:p>
    <w:p>
      <w:pPr>
        <w:pStyle w:val="ListBullet"/>
      </w:pPr>
      <w:r>
        <w:t>Devoluciones: revisar información de compatibilidad y conservar el motivo de devolución. E-commerce y Ventas B2C controlarán cambios de catálogo.</w:t>
      </w:r>
    </w:p>
    <w:p>
      <w:pPr>
        <w:pStyle w:val="ListBullet"/>
      </w:pPr>
      <w:r>
        <w:t>Competencia: mantener supervisión del participante pendiente hasta completar evaluación. Talento humano no marcará el resultado como aprobado para alcanzar la meta.</w:t>
      </w:r>
    </w:p>
    <w:p>
      <w:pPr>
        <w:pStyle w:val="ListBullet"/>
      </w:pPr>
      <w:r>
        <w:t>Acciones: Dirección revisará los casos vencidos y asignará recursos; la fecha de cierre solo se registra después de validar la evidencia.</w:t>
      </w:r>
    </w:p>
    <w:p>
      <w:pPr>
        <w:pStyle w:val="Heading1"/>
      </w:pPr>
      <w:r>
        <w:t>Contexto comercial</w:t>
      </w:r>
    </w:p>
    <w:p>
      <w:r>
        <w:t>La referencia financiera FY2025 es COP 36.000.000.000, distribuida en COP 21.600.000.000 B2B y COP 14.400.000.000 B2C. El volumen modelado es 144 proyectos B2B y 6.000 órdenes B2C. Estos valores contextualizan el tamaño de la operación; no se consideran por sí solos evidencia de calidad ni representan un estado financiero real.</w:t>
      </w:r>
    </w:p>
    <w:p>
      <w:pPr>
        <w:pStyle w:val="Heading1"/>
      </w:pPr>
      <w:r>
        <w:t>Aprobación y actualización</w:t>
      </w:r>
    </w:p>
    <w:p>
      <w:r>
        <w:t>Dirección aprueba las metas para el siguiente ciclo y los recursos asociados. El cierre del 31 de diciembre complementa la revisión gerencial del 15 de diciembre, que utiliza el corte disponible a esa fecha. Toda corrección de un dato conserva el valor anterior, el motivo y la evidencia del recálculo.</w:t>
      </w:r>
    </w:p>
    <w:p>
      <w:pPr>
        <w:pStyle w:val="Heading1"/>
      </w:pPr>
      <w:r>
        <w:t>Documentos relacionados</w:t>
      </w:r>
    </w:p>
    <w:p>
      <w:r>
        <w:t>CC-AC-01 | CC-PR-04 | CC-MT-01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2025-12-31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Ajuste del alcance, responsables y evidencia del ciclo operativo 2025.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CC-MT-02 r02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 e indicadores de calidad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