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Gestión financiera facturación y cartera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CC-CP-02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2025-07-14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Caracterización de proceso | Finanzas</w:t>
      </w:r>
    </w:p>
    <w:p>
      <w:pPr>
        <w:spacing w:after="60"/>
      </w:pPr>
      <w:r>
        <w:rPr>
          <w:b/>
        </w:rPr>
        <w:t xml:space="preserve">Responsable: </w:t>
      </w:r>
      <w:r>
        <w:t>Mateo Salcedo | Líder de Finanzas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Finanzas convierte las operaciones autorizadas en facturas, cobros, pagos y datos confiables para decidir. El proceso abarca los dos canales comerciales y el soporte financiero de proyectos, sin modificar por su cuenta las condiciones pactadas con los clientes.</w:t>
      </w:r>
    </w:p>
    <w:p>
      <w:r>
        <w:rPr>
          <w:sz w:val="18"/>
        </w:rPr>
        <w:t>Referencia temática ISO 9001:2015: 4.4, 6.1, 7.1, 7.5, 8.2, 9.1.</w:t>
      </w:r>
    </w:p>
    <w:p>
      <w:pPr>
        <w:pStyle w:val="Heading1"/>
      </w:pPr>
      <w:r>
        <w:t>Alcance y resultado esperado</w:t>
      </w:r>
    </w:p>
    <w:p>
      <w:r>
        <w:t>Se controlan presupuesto, facturación, recaudo, cartera, conciliación y pagos a proveedores. El cierre anual distingue ingresos B2B de COP 21.600 millones e ingresos B2C de COP 14.400 millones, para un total de COP 36.000 millones en 2025. Estos totales son la referencia anual; los expedientes de muestra no equivalen a toda la contabilidad de la empresa.</w:t>
      </w:r>
    </w:p>
    <w:p>
      <w:pPr>
        <w:pStyle w:val="Heading1"/>
      </w:pPr>
      <w:r>
        <w:t>Entradas salidas e interfaces</w:t>
      </w:r>
    </w:p>
    <w:p>
      <w:r>
        <w:t>Ventas entrega pedidos y condiciones aceptadas; Consultoría y Montaje, hitos autorizados; Compras e Inventarios, orden y recepción; E-commerce, transacciones y devoluciones. Finanzas devuelve comprobantes, estado de cartera y alertas de diferencias. Una disputa técnica se remite a Calidad o al dueño del proyecto antes de descontar valores o cerrar la reclamación.</w:t>
      </w:r>
    </w:p>
    <w:p>
      <w:pPr>
        <w:pStyle w:val="Heading1"/>
      </w:pPr>
      <w:r>
        <w:t>Responsabilidades</w:t>
      </w:r>
    </w:p>
    <w:p>
      <w:r>
        <w:t>Mateo Salcedo revisa cierres, excepciones y programación de pagos. El analista prepara la operación y otra persona autorizada revisa beneficiario, soporte y valor. La Dirección resuelve compromisos fuera del presupuesto. Legal revisa cambios contractuales controvertidos; ningún colaborador puede aprobar el pago que él mismo creó sin una revisión independiente documentada.</w:t>
      </w:r>
    </w:p>
    <w:p>
      <w:pPr>
        <w:pStyle w:val="Heading1"/>
      </w:pPr>
      <w:r>
        <w:t>Secuencia de trabajo</w:t>
      </w:r>
    </w:p>
    <w:p>
      <w:pPr>
        <w:ind w:left="216" w:hanging="216"/>
      </w:pPr>
      <w:r>
        <w:t>1. Recibir el pedido o hito con identificador único, cliente, moneda, valor y condición de cobro. Devolver al emisor cualquier diferencia entre contrato y solicitud.</w:t>
      </w:r>
    </w:p>
    <w:p>
      <w:pPr>
        <w:ind w:left="216" w:hanging="216"/>
      </w:pPr>
      <w:r>
        <w:t>2. Verificar el soporte de entrega o del hito que habilita la factura. No facturar un servicio adicional únicamente porque figure en una conversación informal.</w:t>
      </w:r>
    </w:p>
    <w:p>
      <w:pPr>
        <w:ind w:left="216" w:hanging="216"/>
      </w:pPr>
      <w:r>
        <w:t>3. Preparar el documento de cobro y revisar datos, conceptos e impuestos que correspondan según la validación vigente del área. No trasladar porcentajes de ejemplos anteriores sin revisión.</w:t>
      </w:r>
    </w:p>
    <w:p>
      <w:pPr>
        <w:ind w:left="216" w:hanging="216"/>
      </w:pPr>
      <w:r>
        <w:t>4. Conciliar diariamente recaudos digitales con pedidos y registros del proveedor de pago. Mantener separadas operaciones confirmadas, pendientes, reversadas y sospechosas.</w:t>
      </w:r>
    </w:p>
    <w:p>
      <w:pPr>
        <w:ind w:left="216" w:hanging="216"/>
      </w:pPr>
      <w:r>
        <w:t>5. Revisar semanalmente cartera por antigüedad y disputa. Coordinar con Ventas el contacto al cliente y registrar el compromiso obtenido sin borrar la fecha inicial.</w:t>
      </w:r>
    </w:p>
    <w:p>
      <w:pPr>
        <w:ind w:left="216" w:hanging="216"/>
      </w:pPr>
      <w:r>
        <w:t>6. Programar pagos solo cuando orden, recepción y factura coincidan. Las diferencias de cantidad o calidad se mantienen abiertas con Compras hasta decisión documentada.</w:t>
      </w:r>
    </w:p>
    <w:p>
      <w:pPr>
        <w:ind w:left="216" w:hanging="216"/>
      </w:pPr>
      <w:r>
        <w:t>7. Cerrar mensualmente con conciliación revisada. Explicar ajustes y reabrir el periodo mediante autorización cuando cambie un dato material ya informado.</w:t>
      </w:r>
    </w:p>
    <w:p>
      <w:pPr>
        <w:pStyle w:val="Heading1"/>
      </w:pPr>
      <w:r>
        <w:t>Riesgos y controles</w:t>
      </w:r>
    </w:p>
    <w:p>
      <w:pPr>
        <w:pStyle w:val="ListBullet"/>
      </w:pPr>
      <w:r>
        <w:t>Pago duplicado: buscar coincidencias de proveedor, número de factura y valor antes de aprobar; un registro parecido se investiga aunque tenga diferente nombre de archivo.</w:t>
      </w:r>
    </w:p>
    <w:p>
      <w:pPr>
        <w:pStyle w:val="ListBullet"/>
      </w:pPr>
      <w:r>
        <w:t>Factura incorrecta o anticipada: comprobar la aceptación del cliente y el hito de liberación antes de emitirla.</w:t>
      </w:r>
    </w:p>
    <w:p>
      <w:pPr>
        <w:pStyle w:val="ListBullet"/>
      </w:pPr>
      <w:r>
        <w:t>Cobro aplicado al pedido equivocado: conciliar la referencia de transacción con cliente, importe y pedido; conservar las diferencias sin forzar el saldo.</w:t>
      </w:r>
    </w:p>
    <w:p>
      <w:pPr>
        <w:pStyle w:val="Heading1"/>
      </w:pPr>
      <w:r>
        <w:t>Indicadores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Indicador y fórmula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Meta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Frecuencia y dueño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Facturas correctas al primer envío = facturas sin corrección / emitidas × 100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98 % o más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Mensual | Mateo Salcedo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Conciliaciones oportunas = conciliaciones aprobadas en plazo / programadas × 100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100 %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Mensual | Mateo Salcedo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Recursos y evidencia</w:t>
      </w:r>
    </w:p>
    <w:p>
      <w:r>
        <w:t>Se emplean el sistema contable, el registro de pedidos y los soportes de recepción. CC-RG-01 conserva la referencia comercial del proyecto de muestra y CC-RG-02 sus compras y recepciones. Las facturas completas y las conciliaciones de toda la empresa no forman parte de esta muestra. Se conserva la trazabilidad de quien prepara, revisa y autoriza cada operación.</w:t>
      </w:r>
    </w:p>
    <w:p>
      <w:pPr>
        <w:pStyle w:val="Heading1"/>
      </w:pPr>
      <w:r>
        <w:t>Cierre y conservación</w:t>
      </w:r>
    </w:p>
    <w:p>
      <w:r>
        <w:t>Un pago termina cuando existe confirmación registrada y conciliación; una cuenta discutida no se marca pagada. Los permisos de consulta se coordinan con Tecnología. La conservación se aplica conforme al listado maestro y a las instrucciones de Legal; una revisión pendiente impide eliminar los soportes relacionados.</w:t>
      </w:r>
    </w:p>
    <w:p>
      <w:pPr>
        <w:pStyle w:val="Heading1"/>
      </w:pPr>
      <w:r>
        <w:t>Documentos relacionados</w:t>
      </w:r>
    </w:p>
    <w:p>
      <w:r>
        <w:t>CC-CP-01 | CC-CP-06 | CC-CP-08 | CC-CP-09 | CC-CP-14 | CC-CP-17 | CC-RG-01 | CC-RG-02 | CC-LM-01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03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2025-07-14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 distingue el cierre contable de las muestras de proyectos y se refuerza la conciliación de pagos digitales.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CC-CP-02 r03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financiera facturación y cartera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