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Consultoría para proyectos de cafeterías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CC-CP-04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2025-05-12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Caracterización de proceso | Consultoría B2B</w:t>
      </w:r>
    </w:p>
    <w:p>
      <w:pPr>
        <w:spacing w:after="60"/>
      </w:pPr>
      <w:r>
        <w:rPr>
          <w:b/>
        </w:rPr>
        <w:t xml:space="preserve">Responsable: </w:t>
      </w:r>
      <w:r>
        <w:t>Andrés Molina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La consultoría convierte una necesidad comercial en un proyecto viable y verificable. El equipo deja por escrito las condiciones del local, los supuestos del negocio y los entregables que el cliente acepta antes de pasar a diseño y ejecución.</w:t>
      </w:r>
    </w:p>
    <w:p>
      <w:r>
        <w:rPr>
          <w:sz w:val="18"/>
        </w:rPr>
        <w:t>Referencia temática ISO 9001:2015: 4.4, 8.1, 8.2, 8.3.</w:t>
      </w:r>
    </w:p>
    <w:p>
      <w:pPr>
        <w:pStyle w:val="Heading1"/>
      </w:pPr>
      <w:r>
        <w:t>Propósito y alcance</w:t>
      </w:r>
    </w:p>
    <w:p>
      <w:r>
        <w:t>Cubre desde la recepción de una oportunidad calificada por Ventas B2B hasta el cierre técnico del diagnóstico y el seguimiento de los hitos del proyecto. Incluye factibilidad de cafeterías, capacidad de atención, requerimientos de equipo, coordinación del diseño y preparación de la formación del cliente. No autoriza al consultor a ampliar el contrato ni a prometer resultados de ventas. Las estimaciones se presentan con supuestos y sensibilidad, no como ingresos garantizados.</w:t>
      </w:r>
    </w:p>
    <w:p>
      <w:pPr>
        <w:pStyle w:val="Heading1"/>
      </w:pPr>
      <w:r>
        <w:t>Entradas resultados e interacciones</w:t>
      </w:r>
    </w:p>
    <w:p>
      <w:r>
        <w:t>Entradas: solicitud del cliente, cotización aceptada, levantamiento preliminar, presupuesto disponible y restricciones del inmueble. Ventas B2B confirma quién puede aprobar cambios; Legal revisa las condiciones contractuales que afecten el alcance.</w:t>
      </w:r>
    </w:p>
    <w:p>
      <w:r>
        <w:t>Resultados: diagnóstico aprobado, requisitos para Diseño de espacios, lista de equipos y plan de hitos. Compras recibe especificaciones verificadas y Montaje recibe restricciones de acceso y aceptación. El expediente PRJ-005 La Estación se conserva en CC-RG-01.</w:t>
      </w:r>
    </w:p>
    <w:p>
      <w:pPr>
        <w:pStyle w:val="Heading1"/>
      </w:pPr>
      <w:r>
        <w:t>Responsables y autoridad</w:t>
      </w:r>
    </w:p>
    <w:p>
      <w:r>
        <w:t>Andrés Molina asigna consultor y revisa la suficiencia del diagnóstico. El consultor responsable mantiene la trazabilidad de decisiones y pendientes. Isabel Restrepo decide la solución de diseño dentro del alcance aprobado. Sebastián Vélez formaliza las variaciones comerciales. El cliente valida los supuestos que dependen de su operación; la falta de respuesta no equivale a aprobación.</w:t>
      </w:r>
    </w:p>
    <w:p>
      <w:pPr>
        <w:pStyle w:val="Heading1"/>
      </w:pPr>
      <w:r>
        <w:t>Actividades y controles</w:t>
      </w:r>
    </w:p>
    <w:p>
      <w:pPr>
        <w:ind w:left="216" w:hanging="216"/>
      </w:pPr>
      <w:r>
        <w:t>1. Abrir el proyecto con código único y comprobar contrato, local y contacto decisor. Registrar los datos que falten y su fecha de resolución en el expediente.</w:t>
      </w:r>
    </w:p>
    <w:p>
      <w:pPr>
        <w:ind w:left="216" w:hanging="216"/>
      </w:pPr>
      <w:r>
        <w:t>2. Visitar el local o revisar evidencia suficiente. Confirmar dimensiones, servicios, circulación, horarios y restricciones; separar lo observado de lo declarado por el cliente.</w:t>
      </w:r>
    </w:p>
    <w:p>
      <w:pPr>
        <w:ind w:left="216" w:hanging="216"/>
      </w:pPr>
      <w:r>
        <w:t>3. Estimar demanda y capacidad con escenarios conservador, esperado y alto. Documentar fuente de los supuestos y efectos de una variación de afluencia o costos.</w:t>
      </w:r>
    </w:p>
    <w:p>
      <w:pPr>
        <w:ind w:left="216" w:hanging="216"/>
      </w:pPr>
      <w:r>
        <w:t>4. Definir requisitos medibles de capacidad, equipos y experiencia del usuario. Entregar a Diseño una lista de requisitos numerados y resolver contradicciones antes de aprobarla.</w:t>
      </w:r>
    </w:p>
    <w:p>
      <w:pPr>
        <w:ind w:left="216" w:hanging="216"/>
      </w:pPr>
      <w:r>
        <w:t>5. Revisar la propuesta con Ventas, Diseño y Compras. Contrastar disponibilidad, plazo y presupuesto; identificar por separado partidas opcionales y dependencias del cliente.</w:t>
      </w:r>
    </w:p>
    <w:p>
      <w:pPr>
        <w:ind w:left="216" w:hanging="216"/>
      </w:pPr>
      <w:r>
        <w:t>6. Obtener aceptación del diagnóstico y del plan de hitos. Si cambian requisitos aprobados, tramitar CC-FO-01 y conservar la línea base anterior sin sobrescribirla.</w:t>
      </w:r>
    </w:p>
    <w:p>
      <w:pPr>
        <w:ind w:left="216" w:hanging="216"/>
      </w:pPr>
      <w:r>
        <w:t>7. Acompañar los hitos de diseño, suministro y montaje. Escalar desviaciones de alcance a Ventas B2B y desviaciones técnicas al dueño del proceso afectado.</w:t>
      </w:r>
    </w:p>
    <w:p>
      <w:pPr>
        <w:ind w:left="216" w:hanging="216"/>
      </w:pPr>
      <w:r>
        <w:t>8. Cerrar el diagnóstico y registrar lecciones aplicables. Antes del cierre del proyecto, confirmar que Montaje y Servicio al cliente conocen las obligaciones pendientes.</w:t>
      </w:r>
    </w:p>
    <w:p>
      <w:pPr>
        <w:pStyle w:val="Heading1"/>
      </w:pPr>
      <w:r>
        <w:t>Riesgos y respuesta operativa</w:t>
      </w:r>
    </w:p>
    <w:p>
      <w:pPr>
        <w:pStyle w:val="ListBullet"/>
      </w:pPr>
      <w:r>
        <w:t>Información incompleta del local: dejar el dato como pendiente, asignar verificación y detener únicamente la decisión dependiente. No dimensionar un equipo sobre una capacidad eléctrica sin verificar.</w:t>
      </w:r>
    </w:p>
    <w:p>
      <w:pPr>
        <w:pStyle w:val="ListBullet"/>
      </w:pPr>
      <w:r>
        <w:t>Cambio de expectativa durante la ejecución: comparar contra requisitos aprobados, evaluar plazo y costo y solicitar decisión mediante CC-FO-01. Las conversaciones informales se incorporan al expediente.</w:t>
      </w:r>
    </w:p>
    <w:p>
      <w:pPr>
        <w:pStyle w:val="Heading1"/>
      </w:pPr>
      <w:r>
        <w:t>Seguimiento del proceso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Indicador y cálculo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Meta interna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Frecuencia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Responsable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Diagnósticos entregados a tiempo / diagnósticos vencidos del mes × 100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≥95%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Mensual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Andrés Molina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Proyectos con requisitos trazables / proyectos revisados × 100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Por hito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Consultor asignado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Recursos y registros</w:t>
      </w:r>
    </w:p>
    <w:p>
      <w:r>
        <w:t>Se requieren consultores competentes, herramientas de levantamiento y acceso controlado al expediente. Se conservan levantamientos, supuestos, aceptación del diagnóstico y minutas de decisiones. CC-RG-01 contiene la muestra diligenciada; los cambios usan CC-FO-01. La retención se controla mediante CC-PR-01 y el listado maestro CC-LM-01.</w:t>
      </w:r>
    </w:p>
    <w:p>
      <w:pPr>
        <w:pStyle w:val="Heading1"/>
      </w:pPr>
      <w:r>
        <w:t>Entrega y revisión del proceso</w:t>
      </w:r>
    </w:p>
    <w:p>
      <w:r>
        <w:t>La entrega a Diseño exige requisitos completos, versión identificada y responsable de consultas. Una excepción debe identificar quién la acepta y qué decisión sigue pendiente. Andrés revisa mensualmente retrasos, reprocesos y lecciones con Calidad; las causas repetidas pasan a CC-PR-04. El cierre de consultoría no sustituye la liberación final del servicio.</w:t>
      </w:r>
    </w:p>
    <w:p>
      <w:pPr>
        <w:pStyle w:val="Heading1"/>
      </w:pPr>
      <w:r>
        <w:t>Documentos relacionados</w:t>
      </w:r>
    </w:p>
    <w:p>
      <w:r>
        <w:t>CC-CP-06 | CC-CP-15 | CC-CP-09 | CC-CP-12 | CC-RG-01 | CC-FO-01 | CC-PR-01 | CC-PR-04 | CC-LM-01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03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2025-05-12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 separan los supuestos de factibilidad de los requisitos técnicos aprobados.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CC-CP-04 r03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Consultoría para proyectos de cafeterías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