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Marketing y comunicación de la oferta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40"/>
        <w:gridCol w:w="2847"/>
        <w:gridCol w:w="2440"/>
        <w:gridCol w:w="2440"/>
      </w:tblGrid>
      <w:tr>
        <w:trPr>
          <w:tblHeader w:val="true"/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Revisión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Emisión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CC-CP-07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02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2025-03-17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spacing w:after="60"/>
      </w:pPr>
      <w:r>
        <w:rPr>
          <w:b/>
        </w:rPr>
        <w:t xml:space="preserve">Tipo y área: </w:t>
      </w:r>
      <w:r>
        <w:t>Caracterización de proceso | Marketing</w:t>
      </w:r>
    </w:p>
    <w:p>
      <w:pPr>
        <w:spacing w:after="60"/>
      </w:pPr>
      <w:r>
        <w:rPr>
          <w:b/>
        </w:rPr>
        <w:t xml:space="preserve">Responsable: </w:t>
      </w:r>
      <w:r>
        <w:t>Laura Pardo</w:t>
      </w:r>
    </w:p>
    <w:p>
      <w:pPr>
        <w:spacing w:after="60"/>
      </w:pPr>
      <w:r>
        <w:rPr>
          <w:b/>
        </w:rPr>
        <w:t xml:space="preserve">Aprobación interna: </w:t>
      </w:r>
      <w:r>
        <w:t>Valentina Ríos</w:t>
      </w:r>
    </w:p>
    <w:p>
      <w:pPr>
        <w:spacing w:before="100"/>
      </w:pPr>
      <w:r>
        <w:t>Marketing presenta una oferta coherente con la capacidad real de Company Co y entrega oportunidades utilizables a los equipos de ventas. La prioridad es que la información publicada sea verificable y corresponda a productos y servicios vigentes.</w:t>
      </w:r>
    </w:p>
    <w:p>
      <w:r>
        <w:rPr>
          <w:sz w:val="18"/>
        </w:rPr>
        <w:t>Referencia temática ISO 9001:2015: 4.4, 7.4, 8.2.</w:t>
      </w:r>
    </w:p>
    <w:p>
      <w:pPr>
        <w:pStyle w:val="Heading1"/>
      </w:pPr>
      <w:r>
        <w:t>Propósito y alcance</w:t>
      </w:r>
    </w:p>
    <w:p>
      <w:r>
        <w:t>El proceso cubre campañas, contenidos comerciales, materiales de showroom, generación de oportunidades y seguimiento de resultados. Atiende segmentos de emprendedores de cafeterías, cadenas B2B y compradores B2C. No cambia especificaciones técnicas, precios ni condiciones contractuales sin revisión del área responsable. Los registros de contacto se utilizan únicamente en los canales y para las finalidades aprobadas en el sistema de gestión.</w:t>
      </w:r>
    </w:p>
    <w:p>
      <w:pPr>
        <w:pStyle w:val="Heading1"/>
      </w:pPr>
      <w:r>
        <w:t>Entradas resultados e interacciones</w:t>
      </w:r>
    </w:p>
    <w:p>
      <w:r>
        <w:t>Entradas: objetivos comerciales, necesidades de clientes, inventario disponible, ficha técnica vigente y resultados de satisfacción. Ventas y Servicio al cliente aportan preguntas frecuentes y problemas que deban aclararse en los materiales.</w:t>
      </w:r>
    </w:p>
    <w:p>
      <w:r>
        <w:t>Salidas: contenidos revisados, campañas identificadas, oportunidades calificadas y mediciones. Ventas B2B recibe la necesidad y el contexto de cada oportunidad; Ventas B2C y E-commerce reciben promociones con fecha de inicio y terminación.</w:t>
      </w:r>
    </w:p>
    <w:p>
      <w:pPr>
        <w:pStyle w:val="Heading1"/>
      </w:pPr>
      <w:r>
        <w:t>Responsables y autoridad</w:t>
      </w:r>
    </w:p>
    <w:p>
      <w:r>
        <w:t>Laura Pardo aprueba el contenido y asigna un responsable por campaña. El dueño del producto valida la exactitud técnica; Finanzas y Ventas validan condiciones económicas. Natalia Escobar revisa cuestiones de comunicación que puedan afectar compromisos o tratamiento de datos. La persona que publica comprueba que los enlaces, precios y fechas coincidan con la pieza aprobada.</w:t>
      </w:r>
    </w:p>
    <w:p>
      <w:pPr>
        <w:pStyle w:val="Heading1"/>
      </w:pPr>
      <w:r>
        <w:t>Actividades y controles</w:t>
      </w:r>
    </w:p>
    <w:p>
      <w:pPr>
        <w:ind w:left="216" w:hanging="216"/>
      </w:pPr>
      <w:r>
        <w:t>1. Preparar el encargo de campaña con público, necesidad, canal, producto y resultado esperado. Consultar antecedentes de quejas para evitar mensajes ambiguos que ya hayan generado errores.</w:t>
      </w:r>
    </w:p>
    <w:p>
      <w:pPr>
        <w:ind w:left="216" w:hanging="216"/>
      </w:pPr>
      <w:r>
        <w:t>2. Recopilar especificaciones y condiciones comerciales desde sus fuentes controladas. Anotar versión y responsable; no reutilizar una imagen antigua como prueba de vigencia de una oferta.</w:t>
      </w:r>
    </w:p>
    <w:p>
      <w:pPr>
        <w:ind w:left="216" w:hanging="216"/>
      </w:pPr>
      <w:r>
        <w:t>3. Redactar contenido con límites claros. Si se menciona rendimiento, ahorro o capacidad, solicitar evidencia y aclarar las condiciones bajo las cuales aplica esa afirmación.</w:t>
      </w:r>
    </w:p>
    <w:p>
      <w:pPr>
        <w:ind w:left="216" w:hanging="216"/>
      </w:pPr>
      <w:r>
        <w:t>4. Enviar la pieza a revisión técnica y comercial. Resolver observaciones, registrar aprobación y conservar la versión publicada, incluidos textos breves de anuncios y páginas de destino.</w:t>
      </w:r>
    </w:p>
    <w:p>
      <w:pPr>
        <w:ind w:left="216" w:hanging="216"/>
      </w:pPr>
      <w:r>
        <w:t>5. Comprobar stock, fechas y funcionamiento de los enlaces antes del lanzamiento. Si una dependencia no está lista, aplazar la parte afectada y avisar a los equipos de atención.</w:t>
      </w:r>
    </w:p>
    <w:p>
      <w:pPr>
        <w:ind w:left="216" w:hanging="216"/>
      </w:pPr>
      <w:r>
        <w:t>6. Registrar oportunidades con origen, interés, datos mínimos y prioridad. Evitar duplicados; entregar a Ventas con información suficiente para que el cliente no repita toda su solicitud.</w:t>
      </w:r>
    </w:p>
    <w:p>
      <w:pPr>
        <w:ind w:left="216" w:hanging="216"/>
      </w:pPr>
      <w:r>
        <w:t>7. Supervisar comentarios, errores y vigencia. Retirar o corregir con rapidez una publicación inexacta, conservando qué se cambió y la fecha del ajuste.</w:t>
      </w:r>
    </w:p>
    <w:p>
      <w:pPr>
        <w:ind w:left="216" w:hanging="216"/>
      </w:pPr>
      <w:r>
        <w:t>8. Cerrar la campaña con resultados y aprendizajes. Comparar oportunidades útiles, costos y conversiones conciliadas; distinguir alcance de redes sociales de ventas efectivamente registradas.</w:t>
      </w:r>
    </w:p>
    <w:p>
      <w:pPr>
        <w:pStyle w:val="Heading1"/>
      </w:pPr>
      <w:r>
        <w:t>Riesgos y respuesta operativa</w:t>
      </w:r>
    </w:p>
    <w:p>
      <w:pPr>
        <w:pStyle w:val="ListBullet"/>
      </w:pPr>
      <w:r>
        <w:t>Promesa no sustentada de desempeño: revisión del dueño técnico y archivo de evidencia antes de publicar. Si falta sustento, reformular el mensaje con atributos verificables.</w:t>
      </w:r>
    </w:p>
    <w:p>
      <w:pPr>
        <w:pStyle w:val="ListBullet"/>
      </w:pPr>
      <w:r>
        <w:t>Oferta visible después de vencer: mantener calendario de retiro con suplente y comprobar la página al cierre. Las capturas se conservan como evidencia, sin modificar la fecha original.</w:t>
      </w:r>
    </w:p>
    <w:p>
      <w:pPr>
        <w:pStyle w:val="Heading1"/>
      </w:pPr>
      <w:r>
        <w:t>Seguimiento del proceso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40"/>
        <w:gridCol w:w="2847"/>
        <w:gridCol w:w="2440"/>
        <w:gridCol w:w="2440"/>
      </w:tblGrid>
      <w:tr>
        <w:trPr>
          <w:tblHeader w:val="true"/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Indicador y cálculo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Meta interna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Frecuencia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Responsable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Piezas revisadas antes de publicar / piezas publicadas × 100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Mensual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Laura Pardo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Oportunidades aceptadas por Ventas / oportunidades entregadas × 100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≥80%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Mensual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Marketing y Ventas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Recursos y registros</w:t>
      </w:r>
    </w:p>
    <w:p>
      <w:r>
        <w:t>Se requieren repositorio de activos, calendario editorial y acceso autorizado a canales. Los registros incluyen encargo, versiones, revisiones, publicación y cierre. CC-PR-01 controla las copias; CC-FO-01 registra cambios materiales de una campaña. Las aprobaciones y métricas completas se conservan en el repositorio operativo; este expediente aporta la caracterización, no todas las campañas del año.</w:t>
      </w:r>
    </w:p>
    <w:p>
      <w:pPr>
        <w:pStyle w:val="Heading1"/>
      </w:pPr>
      <w:r>
        <w:t>Entrega y revisión del proceso</w:t>
      </w:r>
    </w:p>
    <w:p>
      <w:r>
        <w:t>La oportunidad queda entregada cuando Ventas acepta su asignación o devuelve un motivo concreto. Las quejas por publicidad se remiten a Servicio al cliente y Calidad. Laura revisa mensualmente errores de publicación y establece acciones cuando aparecen patrones. No se considera eficaz una campaña solo por obtener visitas si la oferta no puede cumplirse.</w:t>
      </w:r>
    </w:p>
    <w:p>
      <w:pPr>
        <w:pStyle w:val="Heading1"/>
      </w:pPr>
      <w:r>
        <w:t>Documentos relacionados</w:t>
      </w:r>
    </w:p>
    <w:p>
      <w:r>
        <w:t>CC-CP-05 | CC-CP-06 | CC-CP-08 | CC-CP-13 | CC-CP-16 | CC-CP-17 | CC-PR-01 | CC-FO-01</w:t>
      </w:r>
    </w:p>
    <w:p>
      <w:pPr>
        <w:pStyle w:val="Heading1"/>
      </w:pPr>
      <w:r>
        <w:t>Historial de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Revisión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Cambio registrado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02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2025-03-17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Se exige conservar la versión publicada y controlar el retiro de promociones.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37" w:bottom="965" w:left="1037" w:header="374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505050"/>
        <w:sz w:val="16"/>
      </w:rPr>
      <w:t xml:space="preserve">Expediente ficticio para pruebas  |  CC-CP-07 r02  |  </w:t>
    </w:r>
    <w:r>
      <w:rPr>
        <w:rFonts w:ascii="Liberation Sans" w:hAnsi="Liberation Sans"/>
        <w:color w:val="505050"/>
        <w:sz w:val="16"/>
      </w:rPr>
    </w:r>
    <w:fldSimple w:instr="PAGE">
      <w:r>
        <w:rPr>
          <w:rFonts w:ascii="Liberation Sans" w:hAnsi="Liberation Sans"/>
          <w:sz w:val="16"/>
          <w:color w:val="505050"/>
        </w:rPr>
        <w:t>1</w:t>
      </w:r>
    </w:fldSimple>
    <w:r>
      <w:rPr>
        <w:rFonts w:ascii="Liberation Sans" w:hAnsi="Liberation Sans"/>
        <w:color w:val="505050"/>
        <w:sz w:val="16"/>
      </w:rPr>
      <w:t xml:space="preserve"> / </w:t>
    </w:r>
    <w:r>
      <w:rPr>
        <w:rFonts w:ascii="Liberation Sans" w:hAnsi="Liberation Sans"/>
        <w:color w:val="505050"/>
        <w:sz w:val="16"/>
      </w:rPr>
    </w:r>
    <w:fldSimple w:instr="NUMPAGES">
      <w:r>
        <w:rPr>
          <w:rFonts w:ascii="Liberation Sans" w:hAnsi="Liberation Sans"/>
          <w:sz w:val="16"/>
          <w:color w:val="505050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color w:val="000000"/>
        <w:sz w:val="16"/>
      </w:rPr>
      <w:t>COMPANY CO S.A.S.    SISTEMA DE GESTIÓN DE LA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4" w:lineRule="auto"/>
    </w:pPr>
    <w:rPr>
      <w:rFonts w:ascii="Liberation Sans" w:hAnsi="Liberation Sans" w:eastAsia="Liberation Sans"/>
      <w:color w:val="000000"/>
      <w:sz w:val="21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 w:eastAsia="Liberation San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Marketing y comunicación de la oferta</dc:title>
  <dc:subject>Conjunto sintético de pruebas de importación documental</dc:subject>
  <dc:creator>Company Co - escenario ficticio</dc:creator>
  <cp:keywords>Company Co; SGC; simulación; ISO 9001; 2025</cp:keywords>
  <dc:description>generated by python-docx</dc:description>
  <cp:lastModifiedBy/>
  <cp:revision>1</cp:revision>
  <dcterms:created xsi:type="dcterms:W3CDTF">2026-10-23T12:00:00Z</dcterms:created>
  <dcterms:modified xsi:type="dcterms:W3CDTF">2026-10-23T12:00:00Z</dcterms:modified>
  <cp:category/>
</cp:coreProperties>
</file>