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Compras y desarrollo de proveedores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Código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Revisión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Emisión</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Estado</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CC-CP-09</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06</w:t>
            </w:r>
          </w:p>
        </w:tc>
        <w:tc>
          <w:tcPr>
            <w:tcW w:type="dxa" w:w="2440"/>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2025-08-11</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Vigente</w:t>
            </w:r>
          </w:p>
        </w:tc>
      </w:tr>
    </w:tbl>
    <w:p>
      <w:pPr>
        <w:spacing w:after="20" w:before="0" w:line="240" w:lineRule="auto"/>
      </w:pPr>
      <w:r>
        <w:rPr>
          <w:sz w:val="4"/>
        </w:rPr>
      </w:r>
    </w:p>
    <w:p>
      <w:pPr>
        <w:spacing w:after="60"/>
      </w:pPr>
      <w:r>
        <w:rPr>
          <w:b/>
        </w:rPr>
        <w:t xml:space="preserve">Tipo y área: </w:t>
      </w:r>
      <w:r>
        <w:t>Caracterización de proceso | Compras</w:t>
      </w:r>
    </w:p>
    <w:p>
      <w:pPr>
        <w:spacing w:after="60"/>
      </w:pPr>
      <w:r>
        <w:rPr>
          <w:b/>
        </w:rPr>
        <w:t xml:space="preserve">Responsable: </w:t>
      </w:r>
      <w:r>
        <w:t>Daniela Suárez</w:t>
      </w:r>
    </w:p>
    <w:p>
      <w:pPr>
        <w:spacing w:after="60"/>
      </w:pPr>
      <w:r>
        <w:rPr>
          <w:b/>
        </w:rPr>
        <w:t xml:space="preserve">Aprobación interna: </w:t>
      </w:r>
      <w:r>
        <w:t>Valentina Ríos</w:t>
      </w:r>
    </w:p>
    <w:p>
      <w:pPr>
        <w:spacing w:before="100"/>
      </w:pPr>
      <w:r>
        <w:t>Compras asegura que los suministros y servicios externos correspondan a los requisitos del proyecto o del catálogo. La selección del proveedor considera capacidad, calidad, plazo y respuesta ante problemas, además del precio.</w:t>
      </w:r>
    </w:p>
    <w:p>
      <w:r>
        <w:rPr>
          <w:sz w:val="18"/>
        </w:rPr>
        <w:t>Referencia temática ISO 9001:2015: 4.4, 8.4, 8.5, 8.6.</w:t>
      </w:r>
    </w:p>
    <w:p>
      <w:pPr>
        <w:pStyle w:val="Heading1"/>
      </w:pPr>
      <w:r>
        <w:t>Propósito y alcance</w:t>
      </w:r>
    </w:p>
    <w:p>
      <w:r>
        <w:t>Comprende alta y evaluación de proveedores, solicitud de cotizaciones, revisión de especificaciones, emisión de órdenes y seguimiento hasta la recepción. Incluye equipos, mobiliario, insumos y servicios de instalación contratados. No se liberan cambios de especificación solo por disponibilidad comercial. Cuando un proveedor participa en la entrega al cliente, Company Co mantiene la responsabilidad de verificar el resultado contratado.</w:t>
      </w:r>
    </w:p>
    <w:p>
      <w:pPr>
        <w:pStyle w:val="Heading1"/>
      </w:pPr>
      <w:r>
        <w:t>Entradas resultados e interacciones</w:t>
      </w:r>
    </w:p>
    <w:p>
      <w:r>
        <w:t>Entradas: requisición aprobada, especificaciones de Diseño o Consultoría, necesidad de reposición de Inventarios y presupuesto confirmado por Finanzas. Calidad define verificaciones de recepción para suministros críticos.</w:t>
      </w:r>
    </w:p>
    <w:p>
      <w:r>
        <w:t>Salidas: proveedor aprobado o condicionado, orden de compra, confirmación de entrega y evaluación de desempeño. Inventarios recibe requisitos de inspección; Logística recibe fechas y restricciones. CC-RG-02 incluye PO-2025-084 para la muestra del proyecto PRJ-005.</w:t>
      </w:r>
    </w:p>
    <w:p>
      <w:pPr>
        <w:pStyle w:val="Heading1"/>
      </w:pPr>
      <w:r>
        <w:t>Responsables y autoridad</w:t>
      </w:r>
    </w:p>
    <w:p>
      <w:r>
        <w:t>Daniela Suárez autoriza la selección dentro de las facultades aprobadas. El solicitante valida la equivalencia técnica; Finanzas valida condiciones económicas y pagos; Calidad decide el tratamiento de incumplimientos. La persona que solicita no modifica a solas un dato crítico de la orden ya confirmada. El proveedor debe aceptar por escrito las condiciones que deba cumplir.</w:t>
      </w:r>
    </w:p>
    <w:p>
      <w:pPr>
        <w:pStyle w:val="Heading1"/>
      </w:pPr>
      <w:r>
        <w:t>Actividades y controles</w:t>
      </w:r>
    </w:p>
    <w:p>
      <w:pPr>
        <w:ind w:left="216" w:hanging="216"/>
      </w:pPr>
      <w:r>
        <w:t>1. Revisar la requisición: cantidad, especificación, fecha, ubicación y criterio de aceptación. Devolver solicitudes ambiguas y asignar una consulta concreta al área solicitante.</w:t>
      </w:r>
    </w:p>
    <w:p>
      <w:pPr>
        <w:ind w:left="216" w:hanging="216"/>
      </w:pPr>
      <w:r>
        <w:t>2. Consultar proveedores aprobados y su evaluación más reciente. Para uno nuevo o condicionado, comprobar capacidad y definir controles adicionales antes de comprometer un suministro crítico.</w:t>
      </w:r>
    </w:p>
    <w:p>
      <w:pPr>
        <w:ind w:left="216" w:hanging="216"/>
      </w:pPr>
      <w:r>
        <w:t>3. Solicitar ofertas comparables y documentar diferencias técnicas, plazo, garantías y condiciones. Registrar la justificación si solo existe una alternativa viable.</w:t>
      </w:r>
    </w:p>
    <w:p>
      <w:pPr>
        <w:ind w:left="216" w:hanging="216"/>
      </w:pPr>
      <w:r>
        <w:t>4. Comparar con el solicitante y obtener las aprobaciones necesarias. Un equipo sustituto requiere aceptación técnica y análisis del efecto sobre diseño, instalación y cliente.</w:t>
      </w:r>
    </w:p>
    <w:p>
      <w:pPr>
        <w:ind w:left="216" w:hanging="216"/>
      </w:pPr>
      <w:r>
        <w:t>5. Emitir orden con identificación, revisión, cantidades, requisitos y documentos de entrega. Conservar la aceptación del proveedor y resolver discrepancias antes del despacho.</w:t>
      </w:r>
    </w:p>
    <w:p>
      <w:pPr>
        <w:ind w:left="216" w:hanging="216"/>
      </w:pPr>
      <w:r>
        <w:t>6. Hacer seguimiento según criticidad. Ante atraso o interrupción, informar a Consultoría y Logística, evaluar alternativas y actualizar la promesa solo después de su aprobación.</w:t>
      </w:r>
    </w:p>
    <w:p>
      <w:pPr>
        <w:ind w:left="216" w:hanging="216"/>
      </w:pPr>
      <w:r>
        <w:t>7. Coordinar recepción y tratar diferencias con Calidad e Inventarios. Una recepción parcial debe mantener abierto el saldo; la factura no prueba por sí sola entrega conforme.</w:t>
      </w:r>
    </w:p>
    <w:p>
      <w:pPr>
        <w:ind w:left="216" w:hanging="216"/>
      </w:pPr>
      <w:r>
        <w:t>8. Evaluar resultados de calidad, cumplimiento y atención. Documentar clasificación, acciones y fecha de reevaluación; suspender nuevas asignaciones cuando el riesgo no pueda controlarse.</w:t>
      </w:r>
    </w:p>
    <w:p>
      <w:pPr>
        <w:pStyle w:val="Heading1"/>
      </w:pPr>
      <w:r>
        <w:t>Riesgos y respuesta operativa</w:t>
      </w:r>
    </w:p>
    <w:p>
      <w:pPr>
        <w:pStyle w:val="ListBullet"/>
      </w:pPr>
      <w:r>
        <w:t>Dependencia de un proveedor para un equipo crítico: mantener alternativa técnicamente revisada y un plan de respuesta. No aprobar sustituciones que alteren requisitos sin revisar el proyecto.</w:t>
      </w:r>
    </w:p>
    <w:p>
      <w:pPr>
        <w:pStyle w:val="ListBullet"/>
      </w:pPr>
      <w:r>
        <w:t>Proveedor con entregas repetidamente defectuosas: aumentar inspección, exigir acción correctiva y decidir continuidad con Calidad. La urgencia de una compra no elimina la evidencia del incumplimiento.</w:t>
      </w:r>
    </w:p>
    <w:p>
      <w:pPr>
        <w:pStyle w:val="Heading1"/>
      </w:pPr>
      <w:r>
        <w:t>Seguimiento del proceso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440"/>
        <w:gridCol w:w="2847"/>
        <w:gridCol w:w="2440"/>
        <w:gridCol w:w="2440"/>
      </w:tblGrid>
      <w:tr>
        <w:trPr>
          <w:tblHeader w:val="true"/>
          <w:cantSplit/>
        </w:trPr>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Indicador y cálculo</w:t>
            </w:r>
          </w:p>
        </w:tc>
        <w:tc>
          <w:tcPr>
            <w:tcW w:type="dxa" w:w="2847"/>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Meta interna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Frecuencia</w:t>
            </w:r>
          </w:p>
        </w:tc>
        <w:tc>
          <w:tcPr>
            <w:tcW w:type="dxa" w:w="244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8"/>
              </w:rPr>
              <w:t>Responsable</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Líneas recibidas conformes / líneas inspeccionadas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≥97%</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Compras y Calidad</w:t>
            </w:r>
          </w:p>
        </w:tc>
      </w:tr>
      <w:tr>
        <w:trPr>
          <w:cantSplit/>
        </w:trPr>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Órdenes entregadas en fecha / órdenes vencidas del mes × 100</w:t>
            </w:r>
          </w:p>
        </w:tc>
        <w:tc>
          <w:tcPr>
            <w:tcW w:type="dxa" w:w="2847"/>
            <w:vAlign w:val="center"/>
            <w:tcMar>
              <w:top w:w="75" w:type="dxa"/>
              <w:bottom w:w="75" w:type="dxa"/>
              <w:left w:w="90" w:type="dxa"/>
              <w:right w:w="90" w:type="dxa"/>
            </w:tcMar>
          </w:tcPr>
          <w:p>
            <w:pPr>
              <w:keepNext w:val="0"/>
              <w:widowControl/>
              <w:spacing w:before="0" w:after="20" w:line="240" w:lineRule="auto"/>
              <w:jc w:val="center"/>
            </w:pPr>
            <w:r>
              <w:rPr>
                <w:b w:val="0"/>
                <w:color w:val="000000"/>
                <w:sz w:val="18"/>
              </w:rPr>
              <w:t>≥95%</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Mensual</w:t>
            </w:r>
          </w:p>
        </w:tc>
        <w:tc>
          <w:tcPr>
            <w:tcW w:type="dxa" w:w="2440"/>
            <w:vAlign w:val="center"/>
            <w:tcMar>
              <w:top w:w="75" w:type="dxa"/>
              <w:bottom w:w="75" w:type="dxa"/>
              <w:left w:w="90" w:type="dxa"/>
              <w:right w:w="90" w:type="dxa"/>
            </w:tcMar>
          </w:tcPr>
          <w:p>
            <w:pPr>
              <w:keepNext w:val="0"/>
              <w:widowControl/>
              <w:spacing w:before="0" w:after="20" w:line="240" w:lineRule="auto"/>
            </w:pPr>
            <w:r>
              <w:rPr>
                <w:b w:val="0"/>
                <w:color w:val="000000"/>
                <w:sz w:val="18"/>
              </w:rPr>
              <w:t>Daniela Suárez</w:t>
            </w:r>
          </w:p>
        </w:tc>
      </w:tr>
    </w:tbl>
    <w:p>
      <w:pPr>
        <w:spacing w:after="20" w:before="0" w:line="240" w:lineRule="auto"/>
      </w:pPr>
      <w:r>
        <w:rPr>
          <w:sz w:val="4"/>
        </w:rPr>
      </w:r>
    </w:p>
    <w:p>
      <w:pPr>
        <w:pStyle w:val="Heading1"/>
      </w:pPr>
      <w:r>
        <w:t>Recursos y registros</w:t>
      </w:r>
    </w:p>
    <w:p>
      <w:r>
        <w:t>Recursos: catálogo aprobado, matriz de proveedores y acceso a especificaciones controladas. Se conservan requisición, comparación, aprobaciones, orden, aceptación, recepción y evaluación. CC-RG-02 contiene la muestra diligenciada; CC-FO-02 documenta rechazos. Las reevaluaciones se vinculan al identificador del proveedor y no solo a su nombre comercial.</w:t>
      </w:r>
    </w:p>
    <w:p>
      <w:pPr>
        <w:pStyle w:val="Heading1"/>
      </w:pPr>
      <w:r>
        <w:t>Entrega y revisión del proceso</w:t>
      </w:r>
    </w:p>
    <w:p>
      <w:r>
        <w:t>Daniela cierra la orden cuando cantidades, condiciones y diferencias estén resueltas, con Finanzas informado de cualquier retención acordada. El universo de referencia es de 75 proveedores; este expediente no incorpora todas sus evaluaciones. Los resultados críticos se presentan a Dirección y alimentan la matriz de riesgos CC-MT-01 y las acciones de CC-PR-04.</w:t>
      </w:r>
    </w:p>
    <w:p>
      <w:pPr>
        <w:pStyle w:val="Heading1"/>
      </w:pPr>
      <w:r>
        <w:t>Documentos relacionados</w:t>
      </w:r>
    </w:p>
    <w:p>
      <w:r>
        <w:t>CC-CP-02 | CC-CP-04 | CC-CP-10 | CC-CP-11 | CC-CP-15 | CC-CP-16 | CC-RG-02 | CC-FO-02 | CC-MT-01 | CC-PR-04</w:t>
      </w:r>
    </w:p>
    <w:p>
      <w:pPr>
        <w:pStyle w:val="Heading1"/>
      </w:pPr>
      <w:r>
        <w:t>Historial de cambios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643"/>
        <w:gridCol w:w="4270"/>
        <w:gridCol w:w="3253"/>
      </w:tblGrid>
      <w:tr>
        <w:trPr>
          <w:tblHeader w:val="true"/>
          <w:cantSplit/>
        </w:trPr>
        <w:tc>
          <w:tcPr>
            <w:tcW w:type="dxa" w:w="264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Revisión</w:t>
            </w:r>
          </w:p>
        </w:tc>
        <w:tc>
          <w:tcPr>
            <w:tcW w:type="dxa" w:w="4270"/>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Fecha</w:t>
            </w:r>
          </w:p>
        </w:tc>
        <w:tc>
          <w:tcPr>
            <w:tcW w:type="dxa" w:w="3253"/>
            <w:vAlign w:val="center"/>
            <w:tcMar>
              <w:top w:w="75" w:type="dxa"/>
              <w:bottom w:w="75" w:type="dxa"/>
              <w:left w:w="90" w:type="dxa"/>
              <w:right w:w="90" w:type="dxa"/>
            </w:tcMar>
            <w:shd w:fill="DDE7EB"/>
          </w:tcPr>
          <w:p>
            <w:pPr>
              <w:keepNext/>
              <w:widowControl/>
              <w:spacing w:before="0" w:after="20" w:line="240" w:lineRule="auto"/>
              <w:jc w:val="center"/>
            </w:pPr>
            <w:r>
              <w:rPr>
                <w:b/>
                <w:color w:val="000000"/>
                <w:sz w:val="19"/>
              </w:rPr>
              <w:t>Cambio registrado</w:t>
            </w:r>
          </w:p>
        </w:tc>
      </w:tr>
      <w:tr>
        <w:trPr>
          <w:cantSplit/>
        </w:trPr>
        <w:tc>
          <w:tcPr>
            <w:tcW w:type="dxa" w:w="2643"/>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06</w:t>
            </w:r>
          </w:p>
        </w:tc>
        <w:tc>
          <w:tcPr>
            <w:tcW w:type="dxa" w:w="4270"/>
            <w:vAlign w:val="center"/>
            <w:tcMar>
              <w:top w:w="75" w:type="dxa"/>
              <w:bottom w:w="75" w:type="dxa"/>
              <w:left w:w="90" w:type="dxa"/>
              <w:right w:w="90" w:type="dxa"/>
            </w:tcMar>
          </w:tcPr>
          <w:p>
            <w:pPr>
              <w:keepNext w:val="0"/>
              <w:widowControl/>
              <w:spacing w:before="0" w:after="20" w:line="240" w:lineRule="auto"/>
              <w:jc w:val="center"/>
            </w:pPr>
            <w:r>
              <w:rPr>
                <w:b w:val="0"/>
                <w:color w:val="000000"/>
                <w:sz w:val="19"/>
              </w:rPr>
              <w:t>2025-08-11</w:t>
            </w:r>
          </w:p>
        </w:tc>
        <w:tc>
          <w:tcPr>
            <w:tcW w:type="dxa" w:w="3253"/>
            <w:vAlign w:val="center"/>
            <w:tcMar>
              <w:top w:w="75" w:type="dxa"/>
              <w:bottom w:w="75" w:type="dxa"/>
              <w:left w:w="90" w:type="dxa"/>
              <w:right w:w="90" w:type="dxa"/>
            </w:tcMar>
          </w:tcPr>
          <w:p>
            <w:pPr>
              <w:keepNext w:val="0"/>
              <w:widowControl/>
              <w:spacing w:before="0" w:after="20" w:line="240" w:lineRule="auto"/>
            </w:pPr>
            <w:r>
              <w:rPr>
                <w:b w:val="0"/>
                <w:color w:val="000000"/>
                <w:sz w:val="19"/>
              </w:rPr>
              <w:t>Se exige aprobación técnica de sustituciones y revisión del saldo en recepciones parciales.</w:t>
            </w:r>
          </w:p>
        </w:tc>
      </w:tr>
    </w:tbl>
    <w:p>
      <w:pPr>
        <w:spacing w:after="20" w:before="0" w:line="240" w:lineRule="auto"/>
      </w:pPr>
      <w:r>
        <w:rPr>
          <w:sz w:val="4"/>
        </w:rPr>
      </w:r>
    </w:p>
    <w:sectPr w:rsidR="00FC693F" w:rsidRPr="0006063C" w:rsidSect="00034616">
      <w:headerReference w:type="default" r:id="rId9"/>
      <w:footerReference w:type="default" r:id="rId10"/>
      <w:pgSz w:w="12240" w:h="15840"/>
      <w:pgMar w:top="950" w:right="1037" w:bottom="965" w:left="1037" w:header="374"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Liberation Sans" w:hAnsi="Liberation Sans"/>
        <w:color w:val="505050"/>
        <w:sz w:val="16"/>
      </w:rPr>
      <w:t xml:space="preserve">Expediente ficticio para pruebas  |  CC-CP-09 r06  |  </w:t>
    </w:r>
    <w:r>
      <w:rPr>
        <w:rFonts w:ascii="Liberation Sans" w:hAnsi="Liberation Sans"/>
        <w:color w:val="505050"/>
        <w:sz w:val="16"/>
      </w:rPr>
    </w:r>
    <w:fldSimple w:instr="PAGE">
      <w:r>
        <w:rPr>
          <w:rFonts w:ascii="Liberation Sans" w:hAnsi="Liberation Sans"/>
          <w:sz w:val="16"/>
          <w:color w:val="505050"/>
        </w:rPr>
        <w:t>1</w:t>
      </w:r>
    </w:fldSimple>
    <w:r>
      <w:rPr>
        <w:rFonts w:ascii="Liberation Sans" w:hAnsi="Liberation Sans"/>
        <w:color w:val="505050"/>
        <w:sz w:val="16"/>
      </w:rPr>
      <w:t xml:space="preserve"> / </w:t>
    </w:r>
    <w:r>
      <w:rPr>
        <w:rFonts w:ascii="Liberation Sans" w:hAnsi="Liberation Sans"/>
        <w:color w:val="505050"/>
        <w:sz w:val="16"/>
      </w:rPr>
    </w:r>
    <w:fldSimple w:instr="NUMPAGES">
      <w:r>
        <w:rPr>
          <w:rFonts w:ascii="Liberation Sans" w:hAnsi="Liberation Sans"/>
          <w:sz w:val="16"/>
          <w:color w:val="505050"/>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Liberation Sans" w:hAnsi="Liberation Sans"/>
        <w:color w:val="000000"/>
        <w:sz w:val="16"/>
      </w:rPr>
      <w:t>COMPANY CO S.A.S.    SISTEMA DE GESTIÓN DE LA CALIDAD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54" w:lineRule="auto"/>
    </w:pPr>
    <w:rPr>
      <w:rFonts w:ascii="Liberation Sans" w:hAnsi="Liberation Sans" w:eastAsia="Liberation Sans"/>
      <w:color w:val="000000"/>
      <w:sz w:val="21"/>
      <w:lang w:val="es-CO"/>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Liberation Sans" w:hAnsi="Liberation Sans" w:eastAsia="Liberation Sans"/>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Liberation Sans" w:hAnsi="Liberation Sans" w:eastAsia="Liberation San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Liberation Sans" w:hAnsi="Liberation Sans" w:eastAsia="Liberation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Theme="majorHAnsi" w:eastAsiaTheme="majorEastAsia" w:hAnsiTheme="majorHAnsi" w:cstheme="majorBidi" w:ascii="Liberation Sans" w:hAnsi="Liberation Sans" w:eastAsia="Liberation Sans"/>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Liberation Sans" w:hAnsi="Liberation Sans" w:eastAsia="Liberation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Liberation Sans" w:hAnsi="Liberation Sans" w:eastAsia="Liberation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Liberation Sans" w:hAnsi="Liberation Sans" w:eastAsia="Liberation Sans"/>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Liberation Sans" w:hAnsi="Liberation Sans" w:eastAsia="Liberation Sans"/>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Compras y desarrollo de proveedores</dc:title>
  <dc:subject>Conjunto sintético de pruebas de importación documental</dc:subject>
  <dc:creator>Company Co - escenario ficticio</dc:creator>
  <cp:keywords>Company Co; SGC; simulación; ISO 9001; 2025</cp:keywords>
  <dc:description>generated by python-docx</dc:description>
  <cp:lastModifiedBy/>
  <cp:revision>1</cp:revision>
  <dcterms:created xsi:type="dcterms:W3CDTF">2026-10-23T12:00:00Z</dcterms:created>
  <dcterms:modified xsi:type="dcterms:W3CDTF">2026-10-23T12:00:00Z</dcterms:modified>
  <cp:category/>
</cp:coreProperties>
</file>