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Despacho transporte y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Logística</w:t>
      </w:r>
    </w:p>
    <w:p>
      <w:pPr>
        <w:spacing w:after="60"/>
      </w:pPr>
      <w:r>
        <w:rPr>
          <w:b/>
        </w:rPr>
        <w:t xml:space="preserve">Responsable: </w:t>
      </w:r>
      <w:r>
        <w:t>Felipe Ospina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Logística preserva la conformidad del producto entre su liberación en bodega y la recepción del destinatario. Cada despacho debe poder reconstruirse por orden, unidades, seriales o lotes, transportador y evidencia de entrega.</w:t>
      </w:r>
    </w:p>
    <w:p>
      <w:r>
        <w:rPr>
          <w:sz w:val="18"/>
        </w:rPr>
        <w:t>Referencia temática ISO 9001:2015: 4.4, 8.5.1, 8.5.4, 8.6.</w:t>
      </w:r>
    </w:p>
    <w:p>
      <w:pPr>
        <w:pStyle w:val="Heading1"/>
      </w:pPr>
      <w:r>
        <w:t>Propósito y alcance</w:t>
      </w:r>
    </w:p>
    <w:p>
      <w:r>
        <w:t>Cubre planificación de rutas, preparación de despacho, embalaje, asignación de transporte, seguimiento y gestión de novedades en Colombia. Incluye transferencias entre sedes y entregas a proyectos B2B. La programación considera acceso al sitio, peso, fragilidad y condiciones pactadas. La salida física no equivale a aceptación por el cliente, y una entrega parcial no cierra el pedido completo.</w:t>
      </w:r>
    </w:p>
    <w:p>
      <w:pPr>
        <w:pStyle w:val="Heading1"/>
      </w:pPr>
      <w:r>
        <w:t>Entradas resultados e interacciones</w:t>
      </w:r>
    </w:p>
    <w:p>
      <w:r>
        <w:t>Entradas: orden liberada, reserva de Inventarios, datos de receptor, promesa aceptada y restricciones de instalación. Finanzas o Ventas confirman las condiciones comerciales que habilitan despacho.</w:t>
      </w:r>
    </w:p>
    <w:p>
      <w:r>
        <w:t>Resultados: manifiesto de salida, guía, trazabilidad de recorrido y constancia de entrega o novedad. Inventarios recibe la confirmación de salida; Montaje recibe la disponibilidad en sitio; Servicio al cliente informa al comprador y coordina soluciones.</w:t>
      </w:r>
    </w:p>
    <w:p>
      <w:pPr>
        <w:pStyle w:val="Heading1"/>
      </w:pPr>
      <w:r>
        <w:t>Responsables y autoridad</w:t>
      </w:r>
    </w:p>
    <w:p>
      <w:r>
        <w:t>Felipe Ospina asigna transportador y prioriza rutas según compromiso y riesgo. Inventarios valida contenido; el despachador comprueba empaque y documentación. El transportador registra custodia y novedades. Calidad decide si un daño requiere inmovilización. Solo el responsable autorizado puede modificar una promesa al cliente, dejando el motivo y la nueva aceptación.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Consolidar órdenes listas y verificar condición de despacho. Confirmar dirección, receptor, horario, acceso y si la entrega necesita medios especiales o coordinación con Montaje.</w:t>
      </w:r>
    </w:p>
    <w:p>
      <w:pPr>
        <w:ind w:left="216" w:hanging="216"/>
      </w:pPr>
      <w:r>
        <w:t>2. Solicitar preparación a Inventarios e identificar pedido, SKU y serial o lote. Revisar cantidades con una segunda comprobación antes de sellar embalajes de equipos.</w:t>
      </w:r>
    </w:p>
    <w:p>
      <w:pPr>
        <w:ind w:left="216" w:hanging="216"/>
      </w:pPr>
      <w:r>
        <w:t>3. Inspeccionar protección, orientación y etiquetas. Documentar daño previo; una unidad en cuarentena o sin liberación no puede incluirse para completar una ruta.</w:t>
      </w:r>
    </w:p>
    <w:p>
      <w:pPr>
        <w:ind w:left="216" w:hanging="216"/>
      </w:pPr>
      <w:r>
        <w:t>4. Asignar transportador autorizado y transmitir requisitos de custodia. Registrar bultos, peso cuando sea pertinente, fecha comprometida y medio para reportar incidentes.</w:t>
      </w:r>
    </w:p>
    <w:p>
      <w:pPr>
        <w:ind w:left="216" w:hanging="216"/>
      </w:pPr>
      <w:r>
        <w:t>5. Formalizar la salida con responsable y hora. Mantener vínculo entre orden, guía y unidades; una transferencia entre sedes conserva la trazabilidad hasta recepción.</w:t>
      </w:r>
    </w:p>
    <w:p>
      <w:pPr>
        <w:ind w:left="216" w:hanging="216"/>
      </w:pPr>
      <w:r>
        <w:t>6. Monitorear la ruta y registrar novedad en cuanto se conozca. Ante bloqueo vial o clima adverso, evaluar alternativa y comunicar una fecha razonable al área comercial.</w:t>
      </w:r>
    </w:p>
    <w:p>
      <w:pPr>
        <w:ind w:left="216" w:hanging="216"/>
      </w:pPr>
      <w:r>
        <w:t>7. Obtener constancia de entrega con fecha, receptor y condición de los bultos. Las faltas, daños o rechazos se describen en el mismo registro, sin borrar la primera observación.</w:t>
      </w:r>
    </w:p>
    <w:p>
      <w:pPr>
        <w:ind w:left="216" w:hanging="216"/>
      </w:pPr>
      <w:r>
        <w:t>8. Conciliar guías pendientes y gestionar retornos con Inventarios y Calidad. Actualizar la orden por cantidades realmente recibidas; cerrar la novedad cuando exista evidencia de solución.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Daño en transporte de equipos: elegir embalaje y manipulación según fragilidad, verificar estado en salida y recepción y conservar evidencias para decidir reposición o reparación.</w:t>
      </w:r>
    </w:p>
    <w:p>
      <w:pPr>
        <w:pStyle w:val="ListBullet"/>
      </w:pPr>
      <w:r>
        <w:t>Atraso por clima o acceso al local: revisar restricciones antes de programar, coordinar ventanas alternativas y comunicar la contingencia. El riesgo alimenta CC-MT-01 sin alterar fechas históricas.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Entregas en fecha acordada / entregas con vencimiento en el período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Felipe Ospina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Entregas con evidencia completa / entregas realizadas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Logística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requieren bodega de despacho, embalajes apropiados, transportadores evaluados y registro de seguimiento. Se conservan orden, lista de bultos, revisión de empaque, guía, novedades y recepción. CC-RG-02 muestra la cadena del proyecto PRJ-005; las no conformidades se documentan en CC-FO-02 y se tratan con CC-PR-04.</w:t>
      </w:r>
    </w:p>
    <w:p>
      <w:pPr>
        <w:pStyle w:val="Heading1"/>
      </w:pPr>
      <w:r>
        <w:t>Entrega y revisión del proceso</w:t>
      </w:r>
    </w:p>
    <w:p>
      <w:r>
        <w:t>El resultado anual de referencia para 2025 es 92% de entregas puntuales, por debajo de la meta del proceso. Felipe presenta las causas y acciones mensuales, separando promesa original y reprogramación para evitar mejorar artificialmente el indicador. La entrega a Montaje exige confirmación del contenido y del estado; una guía firmada sin esa comprobación deja un pendiente visible.</w:t>
      </w:r>
    </w:p>
    <w:p>
      <w:pPr>
        <w:pStyle w:val="Heading1"/>
      </w:pPr>
      <w:r>
        <w:t>Documentos relacionados</w:t>
      </w:r>
    </w:p>
    <w:p>
      <w:r>
        <w:t>CC-CP-02 | CC-CP-09 | CC-CP-11 | CC-CP-12 | CC-CP-13 | CC-CP-16 | CC-RG-02 | CC-FO-02 | CC-PR-04 | CC-MT-01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2025-09-01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conserva la promesa original para calcular cumplimiento de entrega.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CC-CP-10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Despacho transporte y entrega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