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Gestión contractual y seguimiento de compromisos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CC-CP-17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2025-05-19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Legal y cumplimiento</w:t>
      </w:r>
    </w:p>
    <w:p>
      <w:pPr>
        <w:spacing w:after="60"/>
      </w:pPr>
      <w:r>
        <w:rPr>
          <w:b/>
        </w:rPr>
        <w:t xml:space="preserve">Responsable: </w:t>
      </w:r>
      <w:r>
        <w:t>Natalia Escobar | Líder de Legal y cumplimiento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Legal organiza la revisión de compromisos que afectan al cliente, a proveedores y a la información de Company Co. Su intervención busca que la oferta, el contrato y la operación describan el mismo alcance y que las excepciones queden autorizadas y localizables.</w:t>
      </w:r>
    </w:p>
    <w:p>
      <w:r>
        <w:rPr>
          <w:sz w:val="18"/>
        </w:rPr>
        <w:t>Referencia temática ISO 9001:2015: 4.2, 6.1, 7.5, 8.2, 8.4, 8.5.3, 8.5.6.</w:t>
      </w:r>
    </w:p>
    <w:p>
      <w:pPr>
        <w:pStyle w:val="Heading1"/>
      </w:pPr>
      <w:r>
        <w:t>Alcance y criterio general</w:t>
      </w:r>
    </w:p>
    <w:p>
      <w:r>
        <w:t>El proceso comprende contratos, anexos, cambios relevantes, autorizaciones de uso de información y seguimiento de compromisos. La revisión se realiza antes de aceptar condiciones fuera del modelo aprobado o de ceder derechos sobre diseños, datos o equipos. La documentación operativa no sustituye la evaluación particular de las obligaciones aplicables a cada negocio.</w:t>
      </w:r>
    </w:p>
    <w:p>
      <w:pPr>
        <w:pStyle w:val="Heading1"/>
      </w:pPr>
      <w:r>
        <w:t>Entradas resultados e interfaces</w:t>
      </w:r>
    </w:p>
    <w:p>
      <w:r>
        <w:t>Ventas B2B y Compras remiten propuestas y condiciones; Diseño y Consultoría precisan entregables; Finanzas confirma el esquema económico; Tecnología informa tratamientos de datos o cambios de acceso. Legal entrega observaciones, condiciones aceptables y asuntos que deben escalarse. Las especificaciones técnicas siguen bajo responsabilidad de quienes tienen competencia para verificarlas.</w:t>
      </w:r>
    </w:p>
    <w:p>
      <w:pPr>
        <w:pStyle w:val="Heading1"/>
      </w:pPr>
      <w:r>
        <w:t>Responsabilidades</w:t>
      </w:r>
    </w:p>
    <w:p>
      <w:r>
        <w:t>Natalia Escobar asigna la revisión y registra su conclusión. El dueño del negocio proporciona información completa y negocia dentro de lo autorizado. Valentina Ríos decide las excepciones que comprometen recursos o límites corporativos. Nadie convierte una opinión preliminar en aprobación final; el registro debe distinguir revisión, aceptación comercial y autorización de firma.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Recibir el documento con versión, contraparte, propósito, plazo y responsable interno. Si faltan anexos que definen el alcance, dejar la revisión pendiente y solicitar la copia exacta.</w:t>
      </w:r>
    </w:p>
    <w:p>
      <w:pPr>
        <w:ind w:left="216" w:hanging="216"/>
      </w:pPr>
      <w:r>
        <w:t>2. Comparar oferta, contrato y requerimientos operativos. Identificar diferencias de precio, entrega, garantía, responsabilidades, aceptación y propiedad de los resultados.</w:t>
      </w:r>
    </w:p>
    <w:p>
      <w:pPr>
        <w:ind w:left="216" w:hanging="216"/>
      </w:pPr>
      <w:r>
        <w:t>3. Consultar a las áreas sobre viabilidad y obligaciones específicas. Registrar la fuente y fecha de la validación, sin reutilizar una conclusión antigua como respuesta universal.</w:t>
      </w:r>
    </w:p>
    <w:p>
      <w:pPr>
        <w:ind w:left="216" w:hanging="216"/>
      </w:pPr>
      <w:r>
        <w:t>4. Devolver observaciones y negociar cambios con trazabilidad. La versión aceptada debe incorporar los anexos citados y la autorización del responsable correspondiente.</w:t>
      </w:r>
    </w:p>
    <w:p>
      <w:pPr>
        <w:ind w:left="216" w:hanging="216"/>
      </w:pPr>
      <w:r>
        <w:t>5. Registrar vencimientos, renovaciones y compromisos especiales. Entregar a las áreas un resumen de lo que deben ejecutar, conservando el contrato como referencia principal.</w:t>
      </w:r>
    </w:p>
    <w:p>
      <w:pPr>
        <w:ind w:left="216" w:hanging="216"/>
      </w:pPr>
      <w:r>
        <w:t>6. Revisar solicitudes de cambio mediante CC-FO-01 cuando modifiquen alcance, aceptación o responsabilidades. Mantener la relación con la versión anterior.</w:t>
      </w:r>
    </w:p>
    <w:p>
      <w:pPr>
        <w:ind w:left="216" w:hanging="216"/>
      </w:pPr>
      <w:r>
        <w:t>7. En una reclamación, preservar documentos y comunicaciones pertinentes, asignar responsable y coordinar la respuesta con Servicio al cliente y Calidad.</w:t>
      </w:r>
    </w:p>
    <w:p>
      <w:pPr>
        <w:pStyle w:val="Heading1"/>
      </w:pPr>
      <w:r>
        <w:t>Riesgos y controles</w:t>
      </w:r>
    </w:p>
    <w:p>
      <w:pPr>
        <w:pStyle w:val="ListBullet"/>
      </w:pPr>
      <w:r>
        <w:t>Uso de un contrato desactualizado: consultar CC-LM-01 y verificar versión antes de enviar; una copia local no demuestra vigencia.</w:t>
      </w:r>
    </w:p>
    <w:p>
      <w:pPr>
        <w:pStyle w:val="ListBullet"/>
      </w:pPr>
      <w:r>
        <w:t>Compromiso imposible de cumplir: obtener confirmación de capacidad del área técnica y de recursos de Finanzas antes de la aceptación.</w:t>
      </w:r>
    </w:p>
    <w:p>
      <w:pPr>
        <w:pStyle w:val="ListBullet"/>
      </w:pPr>
      <w:r>
        <w:t>Pérdida de evidencia durante una disputa: suspender la eliminación de documentos relacionados y comunicar la retención a los custodios.</w:t>
      </w:r>
    </w:p>
    <w:p>
      <w:pPr>
        <w:pStyle w:val="ListBullet"/>
      </w:pPr>
      <w:r>
        <w:t>Datos compartidos sin finalidad clara: revisar necesidad, destinatario y permisos; coordinar restricciones con Tecnología.</w:t>
      </w:r>
    </w:p>
    <w:p>
      <w:pPr>
        <w:pStyle w:val="Heading1"/>
      </w:pPr>
      <w:r>
        <w:t>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Indicador y fórmula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Meta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Frecuencia y responsable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Revisiones previas = contratos sujetos a revisión aprobados antes de aceptación / contratos sujetos a revisión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100 %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 | Natalia Escobar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Compromisos atendidos en plazo = compromisos cumplidos a tiempo / compromisos vencidos en el periodo × 100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95 % o más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Mensual | Natalia Escobar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emplean modelos controlados, registro de compromisos y asesoría especializada cuando el asunto lo requiera. CC-RG-01 contiene una muestra comercial y CC-RG-02 una de compra; no representan todos los contratos. Las reglas de conservación del paquete son decisiones internas de la simulación y deben distinguirse de obligaciones externas verificadas.</w:t>
      </w:r>
    </w:p>
    <w:p>
      <w:pPr>
        <w:pStyle w:val="Heading1"/>
      </w:pPr>
      <w:r>
        <w:t>Cierre y conservación</w:t>
      </w:r>
    </w:p>
    <w:p>
      <w:r>
        <w:t>La revisión cierra cuando existe una versión identificada, las observaciones se han resuelto y el responsable recibe las condiciones operativas. Un contrato terminado puede conservar obligaciones pendientes. El archivo se coordina con Calidad y Tecnología para mantener integridad, acceso limitado y disponibilidad de las versiones necesarias.</w:t>
      </w:r>
    </w:p>
    <w:p>
      <w:pPr>
        <w:pStyle w:val="Heading1"/>
      </w:pPr>
      <w:r>
        <w:t>Documentos relacionados</w:t>
      </w:r>
    </w:p>
    <w:p>
      <w:r>
        <w:t>CC-CP-01 | CC-CP-02 | CC-CP-06 | CC-CP-09 | CC-CP-13 | CC-CP-14 | CC-CP-15 | CC-PR-01 | CC-FO-01 | CC-RG-01 | CC-RG-02 | CC-LM-01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2025-05-19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diferencia revisión jurídica, aceptación comercial y autorización de la versión final.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CC-CP-17 r02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contractual y seguimiento de compromisos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