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Salidas no conformes y acciones correctivas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40"/>
        <w:gridCol w:w="2847"/>
        <w:gridCol w:w="2440"/>
        <w:gridCol w:w="2440"/>
      </w:tblGrid>
      <w:tr>
        <w:trPr>
          <w:tblHeader w:val="true"/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Código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Revisión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Emisión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8"/>
              </w:rPr>
              <w:t>Estado</w:t>
            </w:r>
          </w:p>
        </w:tc>
      </w:tr>
      <w:tr>
        <w:trPr>
          <w:cantSplit/>
        </w:trPr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CC-PR-04</w:t>
            </w:r>
          </w:p>
        </w:tc>
        <w:tc>
          <w:tcPr>
            <w:tcW w:type="dxa" w:w="2847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03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8"/>
              </w:rPr>
              <w:t>2025-06-16</w:t>
            </w:r>
          </w:p>
        </w:tc>
        <w:tc>
          <w:tcPr>
            <w:tcW w:type="dxa" w:w="244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8"/>
              </w:rPr>
              <w:t>Vigente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spacing w:after="60"/>
      </w:pPr>
      <w:r>
        <w:rPr>
          <w:b/>
        </w:rPr>
        <w:t xml:space="preserve">Tipo y área: </w:t>
      </w:r>
      <w:r>
        <w:t>Procedimiento | Calidad y posventa</w:t>
      </w:r>
    </w:p>
    <w:p>
      <w:pPr>
        <w:spacing w:after="60"/>
      </w:pPr>
      <w:r>
        <w:rPr>
          <w:b/>
        </w:rPr>
        <w:t xml:space="preserve">Responsable: </w:t>
      </w:r>
      <w:r>
        <w:t>Ricardo Muñoz</w:t>
      </w:r>
    </w:p>
    <w:p>
      <w:pPr>
        <w:spacing w:after="60"/>
      </w:pPr>
      <w:r>
        <w:rPr>
          <w:b/>
        </w:rPr>
        <w:t xml:space="preserve">Aprobación interna: </w:t>
      </w:r>
      <w:r>
        <w:t>Valentina Ríos</w:t>
      </w:r>
    </w:p>
    <w:p>
      <w:pPr>
        <w:spacing w:before="100"/>
      </w:pPr>
      <w:r>
        <w:t>Describe cómo contener, tratar y liberar salidas no conformes y cómo verificar las acciones correctivas. Mantiene separados el cierre del caso y la demostración de eficacia.</w:t>
      </w:r>
    </w:p>
    <w:p>
      <w:r>
        <w:rPr>
          <w:sz w:val="18"/>
        </w:rPr>
        <w:t>Referencia temática ISO 9001:2015: 8.7, 10.2, 10.3.</w:t>
      </w:r>
    </w:p>
    <w:p>
      <w:pPr>
        <w:pStyle w:val="Heading1"/>
      </w:pPr>
      <w:r>
        <w:t>Alcance y conceptos</w:t>
      </w:r>
    </w:p>
    <w:p>
      <w:r>
        <w:t>Aplica a equipos, insumos, diseños, instalaciones, entregas, atención y controles del sistema que no satisfacen un requisito. La corrección resuelve el caso; la acción correctiva elimina una causa para evitar repetición. La contención limita el efecto mientras se decide. Se registra en CC-FO-02 o en el expediente vinculado.</w:t>
      </w:r>
    </w:p>
    <w:p>
      <w:pPr>
        <w:pStyle w:val="Heading1"/>
      </w:pPr>
      <w:r>
        <w:t>Detección y contención</w:t>
      </w:r>
    </w:p>
    <w:p>
      <w:pPr>
        <w:ind w:left="216" w:hanging="216"/>
      </w:pPr>
      <w:r>
        <w:t>1. Quien detecta el incumplimiento identifica el objeto, requisito, fecha y evidencia. Informa al líder y a Calidad el mismo día de detección.</w:t>
      </w:r>
    </w:p>
    <w:p>
      <w:pPr>
        <w:ind w:left="216" w:hanging="216"/>
      </w:pPr>
      <w:r>
        <w:t>2. Inventarios separa físicamente el equipo o lote cuando está en bodega y bloquea su liberación. Si el defecto es de información o software, el propietario suspende la versión o transacción afectada según el alcance.</w:t>
      </w:r>
    </w:p>
    <w:p>
      <w:pPr>
        <w:ind w:left="216" w:hanging="216"/>
      </w:pPr>
      <w:r>
        <w:t>3. Si el producto ya salió, Logística y Servicio al cliente identifican destinatarios y valoran el impacto con el responsable técnico. Conservan la comunicación y la instrucción dada al cliente.</w:t>
      </w:r>
    </w:p>
    <w:p>
      <w:pPr>
        <w:ind w:left="216" w:hanging="216"/>
      </w:pPr>
      <w:r>
        <w:t>4. Se registra cantidad, serie o lote, pedido o proyecto, responsable de custodia y tratamiento propuesto. No se borra el registro original para aparentar conformidad.</w:t>
      </w:r>
    </w:p>
    <w:p>
      <w:pPr>
        <w:pStyle w:val="Heading1"/>
      </w:pPr>
      <w:r>
        <w:t>Decisión y liberación</w:t>
      </w:r>
    </w:p>
    <w:p>
      <w:r>
        <w:t>El dueño del proceso y la autoridad técnica deciden corrección, devolución, sustitución, suspensión o descarte autorizado. Una aceptación por concesión requiere evidencia de la autoridad pertinente y del cliente cuando afecte su requisito. No se admite concesión sobre una condición que comprometa la seguridad. Tras una corrección se repiten los controles afectados y se registra quién autoriza la liberación, cuándo y con qué resultado.</w:t>
      </w:r>
    </w:p>
    <w:p>
      <w:pPr>
        <w:pStyle w:val="Heading1"/>
      </w:pPr>
      <w:r>
        <w:t>Causa y acción correctiva</w:t>
      </w:r>
    </w:p>
    <w:p>
      <w:r>
        <w:t>Calidad decide con el dueño si se necesita una acción correctiva, considerando repetición, impacto y posibilidad de ocurrencia en otros casos. El análisis identifica por qué falló el control y por qué no se detectó antes. Se pueden usar preguntas sucesivas o análisis de causa; nombrar a una persona como culpable no sustituye el análisis del proceso.</w:t>
      </w:r>
    </w:p>
    <w:p>
      <w:r>
        <w:t>El plan define tarea, responsable, plazo, recurso y evidencia. Como regla interna se presenta en diez días hábiles tras la detección, salvo plazo diferente aprobado según riesgo. Se revisan casos similares, documentación, competencias y riesgos. Capacitar otra vez solo es suficiente si la causa y la verificación lo justifican.</w:t>
      </w:r>
    </w:p>
    <w:p>
      <w:pPr>
        <w:pStyle w:val="Heading1"/>
      </w:pPr>
      <w:r>
        <w:t>Eficacia y cierre</w:t>
      </w:r>
    </w:p>
    <w:p>
      <w:r>
        <w:t>La persona independiente revisa una muestra posterior al cambio y compara el resultado con el criterio acordado. El plazo de observación depende de la frecuencia del proceso; si aún no ocurrió una nueva operación, el estado es Pendiente de eficacia. El cierre requiere causa abordada, acciones ejecutadas y evidencia de resultado. Si reaparece el problema, se reabre o se vincula una nueva acción y se reevalúa la causa.</w:t>
      </w:r>
    </w:p>
    <w:p>
      <w:pPr>
        <w:pStyle w:val="Heading1"/>
      </w:pPr>
      <w:r>
        <w:t>Ejemplo de aplicación</w:t>
      </w:r>
    </w:p>
    <w:p>
      <w:r>
        <w:t>En el proyecto PRJ-005, el ticket TCK-2025-0419 registra una incidencia posterior a la puesta en marcha. El expediente de montaje conserva la corrección y la atención al cliente; si el análisis confirma un fallo repetible del control de instalación, Calidad abre la acción correspondiente. El cierre del ticket comercial no implica automáticamente cierre de una acción correctiva.</w:t>
      </w:r>
    </w:p>
    <w:p>
      <w:pPr>
        <w:pStyle w:val="Heading1"/>
      </w:pPr>
      <w:r>
        <w:t>Control y registros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Control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Criterio interno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Responsable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Trazabilidad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100 % de casos con requisito y objeto identificados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Líder del proceso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Contención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Decisión documentada el día de detección en casos críticos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Responsable técnico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Vencimiento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Revisar semanalmente planes y eficacia pendientes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Calidad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Tendencia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Analizar mensualmente causas, costo de reproceso y recurrencia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Calidad y Finanzas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p>
      <w:pPr>
        <w:pStyle w:val="Heading1"/>
      </w:pPr>
      <w:r>
        <w:t>Conservación</w:t>
      </w:r>
    </w:p>
    <w:p>
      <w:r>
        <w:t>Conservar CC-FO-02, evidencias de tratamiento, autorizaciones, análisis de causa, verificación y comunicaciones vinculadas. El estado Abierto no se convierte en Cerrado por una fecha objetivo vencida. Una fecha de cierre vacía debe permanecer vacía hasta que exista la decisión y su evidencia.</w:t>
      </w:r>
    </w:p>
    <w:p>
      <w:pPr>
        <w:pStyle w:val="Heading1"/>
      </w:pPr>
      <w:r>
        <w:t>Documentos relacionados</w:t>
      </w:r>
    </w:p>
    <w:p>
      <w:r>
        <w:t>CC-FO-02 | CC-RG-03 | CC-RG-04 | CC-CP-16</w:t>
      </w:r>
    </w:p>
    <w:p>
      <w:pPr>
        <w:pStyle w:val="Heading1"/>
      </w:pPr>
      <w:r>
        <w:t>Historial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643"/>
        <w:gridCol w:w="4270"/>
        <w:gridCol w:w="3253"/>
      </w:tblGrid>
      <w:tr>
        <w:trPr>
          <w:tblHeader w:val="true"/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Revisión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Fecha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  <w:shd w:fill="DDE7EB"/>
          </w:tcPr>
          <w:p>
            <w:pPr>
              <w:keepNext/>
              <w:widowControl/>
              <w:spacing w:before="0" w:after="20" w:line="240" w:lineRule="auto"/>
              <w:jc w:val="center"/>
            </w:pPr>
            <w:r>
              <w:rPr>
                <w:b/>
                <w:color w:val="000000"/>
                <w:sz w:val="19"/>
              </w:rPr>
              <w:t>Cambio registrado</w:t>
            </w:r>
          </w:p>
        </w:tc>
      </w:tr>
      <w:tr>
        <w:trPr>
          <w:cantSplit/>
        </w:trPr>
        <w:tc>
          <w:tcPr>
            <w:tcW w:type="dxa" w:w="264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03</w:t>
            </w:r>
          </w:p>
        </w:tc>
        <w:tc>
          <w:tcPr>
            <w:tcW w:type="dxa" w:w="4270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  <w:jc w:val="center"/>
            </w:pPr>
            <w:r>
              <w:rPr>
                <w:b w:val="0"/>
                <w:color w:val="000000"/>
                <w:sz w:val="19"/>
              </w:rPr>
              <w:t>2025-06-16</w:t>
            </w:r>
          </w:p>
        </w:tc>
        <w:tc>
          <w:tcPr>
            <w:tcW w:type="dxa" w:w="3253"/>
            <w:vAlign w:val="center"/>
            <w:tcMar>
              <w:top w:w="75" w:type="dxa"/>
              <w:bottom w:w="75" w:type="dxa"/>
              <w:left w:w="90" w:type="dxa"/>
              <w:right w:w="90" w:type="dxa"/>
            </w:tcMar>
          </w:tcPr>
          <w:p>
            <w:pPr>
              <w:keepNext w:val="0"/>
              <w:widowControl/>
              <w:spacing w:before="0" w:after="20" w:line="240" w:lineRule="auto"/>
            </w:pPr>
            <w:r>
              <w:rPr>
                <w:b w:val="0"/>
                <w:color w:val="000000"/>
                <w:sz w:val="19"/>
              </w:rPr>
              <w:t>Ajuste del alcance, responsables y evidencia del ciclo operativo 2025.</w:t>
            </w:r>
          </w:p>
        </w:tc>
      </w:tr>
    </w:tbl>
    <w:p>
      <w:pPr>
        <w:spacing w:after="20" w:before="0" w:line="240" w:lineRule="auto"/>
      </w:pPr>
      <w:r>
        <w:rPr>
          <w:sz w:val="4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950" w:right="1037" w:bottom="965" w:left="1037" w:header="374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05050"/>
        <w:sz w:val="16"/>
      </w:rPr>
      <w:t xml:space="preserve">Expediente ficticio para pruebas  |  CC-PR-04 r03  |  </w:t>
    </w:r>
    <w:r>
      <w:rPr>
        <w:rFonts w:ascii="Liberation Sans" w:hAnsi="Liberation Sans"/>
        <w:color w:val="505050"/>
        <w:sz w:val="16"/>
      </w:rPr>
    </w:r>
    <w:fldSimple w:instr="PAGE">
      <w:r>
        <w:rPr>
          <w:rFonts w:ascii="Liberation Sans" w:hAnsi="Liberation Sans"/>
          <w:sz w:val="16"/>
          <w:color w:val="505050"/>
        </w:rPr>
        <w:t>1</w:t>
      </w:r>
    </w:fldSimple>
    <w:r>
      <w:rPr>
        <w:rFonts w:ascii="Liberation Sans" w:hAnsi="Liberation Sans"/>
        <w:color w:val="505050"/>
        <w:sz w:val="16"/>
      </w:rPr>
      <w:t xml:space="preserve"> / </w:t>
    </w:r>
    <w:r>
      <w:rPr>
        <w:rFonts w:ascii="Liberation Sans" w:hAnsi="Liberation Sans"/>
        <w:color w:val="505050"/>
        <w:sz w:val="16"/>
      </w:rPr>
    </w:r>
    <w:fldSimple w:instr="NUMPAGES">
      <w:r>
        <w:rPr>
          <w:rFonts w:ascii="Liberation Sans" w:hAnsi="Liberation Sans"/>
          <w:sz w:val="16"/>
          <w:color w:val="505050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color w:val="000000"/>
        <w:sz w:val="16"/>
      </w:rPr>
      <w:t>COMPANY CO S.A.S.    SISTEMA DE GESTIÓN DE LA CALIDAD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54" w:lineRule="auto"/>
    </w:pPr>
    <w:rPr>
      <w:rFonts w:ascii="Liberation Sans" w:hAnsi="Liberation Sans" w:eastAsia="Liberation Sans"/>
      <w:color w:val="000000"/>
      <w:sz w:val="21"/>
      <w:lang w:val="es-CO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 w:eastAsia="Liberation Sans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Liberation Sans" w:hAnsi="Liberation Sans" w:eastAsia="Liberation Sans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 w:eastAsia="Liberation San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Salidas no conformes y acciones correctivas</dc:title>
  <dc:subject>Conjunto sintético de pruebas de importación documental</dc:subject>
  <dc:creator>Company Co - escenario ficticio</dc:creator>
  <cp:keywords>Company Co; SGC; simulación; ISO 9001; 2025</cp:keywords>
  <dc:description>generated by python-docx</dc:description>
  <cp:lastModifiedBy/>
  <cp:revision>1</cp:revision>
  <dcterms:created xsi:type="dcterms:W3CDTF">2026-10-23T12:00:00Z</dcterms:created>
  <dcterms:modified xsi:type="dcterms:W3CDTF">2026-10-23T12:00:00Z</dcterms:modified>
  <cp:category/>
</cp:coreProperties>
</file>