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Expediente comercial y de diseño PRJ 005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CC-RG-01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2025-08-26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Cerrado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Registro diligenciado | Ventas B2B y Diseño de espacios</w:t>
      </w:r>
    </w:p>
    <w:p>
      <w:pPr>
        <w:spacing w:after="60"/>
      </w:pPr>
      <w:r>
        <w:rPr>
          <w:b/>
        </w:rPr>
        <w:t xml:space="preserve">Responsable: </w:t>
      </w:r>
      <w:r>
        <w:t>Sebastián Vélez e Isabel Restrepo</w:t>
      </w:r>
    </w:p>
    <w:p>
      <w:pPr>
        <w:spacing w:after="60"/>
      </w:pPr>
      <w:r>
        <w:rPr>
          <w:b/>
        </w:rPr>
        <w:t xml:space="preserve">Aprobación interna: </w:t>
      </w:r>
      <w:r>
        <w:t>Valentina Ríos</w:t>
      </w:r>
    </w:p>
    <w:p>
      <w:pPr>
        <w:spacing w:before="100"/>
      </w:pPr>
      <w:r>
        <w:t>Se conserva la revisión de requisitos, el diseño y el cambio aprobado del proyecto La Estación para CUS-003 Cadena Café Demo 3, Cali. Este expediente permite vincular la oferta aceptada con las condiciones que Compras y Montaje deben ejecutar.</w:t>
      </w:r>
    </w:p>
    <w:p>
      <w:r>
        <w:rPr>
          <w:sz w:val="18"/>
        </w:rPr>
        <w:t>Referencia temática ISO 9001:2015: 8.2, 8.3, 8.5.6.</w:t>
      </w:r>
    </w:p>
    <w:p>
      <w:pPr>
        <w:pStyle w:val="Heading1"/>
      </w:pPr>
      <w:r>
        <w:t>Identificación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50"/>
        <w:gridCol w:w="7116"/>
      </w:tblGrid>
      <w:tr>
        <w:trPr>
          <w:tblHeader w:val="true"/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Dato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Registro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Cliente y sede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CUS-003 Cadena Café Demo 3; proyecto PRJ-005 La Estación; Cali.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Oferta y aceptación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COT-2025-144, revisión 02, aceptada el 2025-08-04.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Valor convenido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COP 150.000.000 netos antes de los impuestos aplicables. La liquidación tributaria pertenece a la factura; no se adiciona en este registro.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Pagos del proyecto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Anticipo 30 %: COP 45.000.000. Hito de equipos 40 %: COP 60.000.000. Entrega 30 %: COP 45.000.000.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Interlocutores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Por Company Co: Sebastián Vélez. Por el cliente: María Fernanda Cuéllar, administradora. Isabel Restrepo coordina diseño; Andrés Molina, consultoría.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Fechas acordadas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Montaje del 15 al 17 de septiembre de 2025; liberación prevista el 18 de septiembre de 2025.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Necesidad y alcance aceptado</w:t>
      </w:r>
    </w:p>
    <w:p>
      <w:r>
        <w:t>El cliente solicita una barra de café con circulación separada de clientes y personal, dos posiciones de trabajo y equipo dimensionado para el pico de mañana. Se incluye levantamiento, diseño de distribución, selección de equipo, coordinación de compras, montaje, prueba funcional y formación inicial. Company Co no fabrica las máquinas de espresso ni opera la cafetería del cliente.</w:t>
      </w:r>
    </w:p>
    <w:p>
      <w:r>
        <w:t>La oferta considera una máquina de espresso, un molino, mobiliario de barra, un terminal POS y adecuaciones delimitadas en la visita. Cambios en obra civil ajena a ese alcance requieren una nueva revisión antes de comprometer plazo o precio.</w:t>
      </w:r>
    </w:p>
    <w:p>
      <w:pPr>
        <w:pStyle w:val="Heading1"/>
      </w:pPr>
      <w:r>
        <w:t>Revisión previa a comprometer el servicio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Requisito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Criterio de aceptación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Resultado de revisión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Capacidad de atención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Demostrar 40 bebidas equivalentes en 30 minutos durante la prueba de flujo acordada.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Andrés Molina confirmó el 2025-08-01 que la combinación de equipo y dos operarios es viable; validación final en sitio.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Configuración eléctrica e hidráulica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Compatibilidad con las especificaciones del fabricante y punto instalado por el contratista autorizado del cliente.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Visita del 2025-07-30 completada; falta comprobar condiciones finales antes de energizar.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Acceso y descarga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Ventana de descarga confirmada y recorrido libre hasta la barra.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Cliente reservó la franja 08:00 a 10:00 del 2025-09-15.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Presupuesto y cobro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Oferta aceptada y anticipo confirmado antes de liberar compra.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Mateo Salcedo registró el anticipo neto de COP 45.000.000 el 2025-08-05.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Posventa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Canal único de tickets y explicación de los límites contractuales de la garantía.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Condiciones revisadas por Natalia Escobar; cliente recibió el alcance el 2025-08-04.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Entradas y salida del diseño</w:t>
      </w:r>
    </w:p>
    <w:p>
      <w:r>
        <w:t>Isabel Restrepo tomó como entradas el levantamiento del local, las fichas técnicas de los equipos, el flujo de trabajo acordado y la oferta COT-2025-144. La propuesta liberada identifica posiciones, conexiones, acceso de mantenimiento y secuencia de instalación. La representación gráfica original y las fichas de fabricante no se incluyen en este lote documental; se conserva aquí su resultado de revisión, sin presentarlas como archivos adjuntos.</w:t>
      </w:r>
    </w:p>
    <w:p>
      <w:r>
        <w:t>El 2025-08-14 Andrés Molina verificó dimensiones críticas, interferencias y correspondencia entre oferta y lista de equipos. Se corrigió una separación insuficiente junto al molino y se amplió el espacio de servicio sin cambiar el área contratada. Isabel registró el diseño D-PRJ005-02 como salida autorizada para la aprobación del cliente.</w:t>
      </w:r>
    </w:p>
    <w:p>
      <w:pPr>
        <w:pStyle w:val="Heading1"/>
      </w:pPr>
      <w:r>
        <w:t>Validación del diseño</w:t>
      </w:r>
    </w:p>
    <w:p>
      <w:r>
        <w:t>El 15 de agosto de 2025 se recorrió la secuencia de pedido, cobro, preparación y entrega con María Fernanda Cuéllar. El cliente aceptó la distribución D-PRJ005-02 para su uso previsto, condicionado a comprobar la operación con los equipos instalados. La validación documental no sustituye la comprobación funcional de CC-RG-03.</w:t>
      </w:r>
    </w:p>
    <w:p>
      <w:r>
        <w:t>El registro de aprobación consigna a María Fernanda Cuéllar como representante del cliente y a Isabel Restrepo como responsable de diseño. Se aceptaron la posición de caja y la barra; no quedaron observaciones abiertas que impidieran compras.</w:t>
      </w:r>
    </w:p>
    <w:p>
      <w:pPr>
        <w:pStyle w:val="Heading1"/>
      </w:pPr>
      <w:r>
        <w:t>Cambio CL 2025 009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50"/>
        <w:gridCol w:w="7116"/>
      </w:tblGrid>
      <w:tr>
        <w:trPr>
          <w:tblHeader w:val="true"/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Campo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Decisión registrada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Solicitud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2025-08-22: mover el terminal POS 45 cm para evitar cruce con la entrega de bebidas.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Evaluación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Isabel y Óscar revisaron alcance, paso de cables, secuencia de trabajo y mantenibilidad. No cambia equipo ni capacidad.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Impacto económico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COP 0 adicionales al precio neto contratado; ajuste absorbido en las horas de instalación previstas.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Impacto de plazo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Se conserva liberación prevista 2025-09-18.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Autorización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Cliente y Sebastián Vélez aprobaron el 2025-08-25. Isabel liberó la salida D-PRJ005-03 el 2025-08-26.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Comunicación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Compras, Inventarios y Montaje recibieron la revisión 03. Se retiró la revisión 02 de la carpeta operativa.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Entrega a los siguientes procesos</w:t>
      </w:r>
    </w:p>
    <w:p>
      <w:r>
        <w:t>Compras recibe la lista autorizada y mantiene las equivalencias de proveedor sujetas a revisión técnica. Inventarios vincula cada serie con PRJ-005. Montaje recibe el diseño revisión 03 y comprueba las condiciones del sitio antes de intervenir; una diferencia física se registra en CC-FO-01 y suspende únicamente el trabajo afectado.</w:t>
      </w:r>
    </w:p>
    <w:p>
      <w:r>
        <w:t>El cierre comercial queda completo para ejecución. La aceptación del cliente y el pago final requieren la liberación de CC-RG-03; no se marcan anticipadamente como realizados.</w:t>
      </w:r>
    </w:p>
    <w:p>
      <w:pPr>
        <w:pStyle w:val="Heading1"/>
      </w:pPr>
      <w:r>
        <w:t>Documentos relacionados</w:t>
      </w:r>
    </w:p>
    <w:p>
      <w:r>
        <w:t>CC-CP-04 | CC-CP-06 | CC-CP-15 | CC-FO-01 | CC-RG-02 | CC-RG-03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01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2025-08-15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Oferta, revisión y validación inicial del diseño.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02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2025-08-26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Incorporación del cambio CL-2025-009 y transmisión de diseño revisión 03.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erif" w:hAnsi="Liberation Serif"/>
        <w:color w:val="505050"/>
        <w:sz w:val="16"/>
      </w:rPr>
      <w:t xml:space="preserve">Expediente ficticio para pruebas  |  CC-RG-01 r02  |  </w:t>
    </w:r>
    <w:r>
      <w:rPr>
        <w:rFonts w:ascii="Liberation Serif" w:hAnsi="Liberation Serif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erif" w:hAnsi="Liberation Serif"/>
        <w:color w:val="505050"/>
        <w:sz w:val="16"/>
      </w:rPr>
      <w:t xml:space="preserve"> / </w:t>
    </w:r>
    <w:r>
      <w:rPr>
        <w:rFonts w:ascii="Liberation Serif" w:hAnsi="Liberation Serif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erif" w:hAnsi="Liberation Serif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erif" w:hAnsi="Liberation Serif" w:eastAsia="Liberation Serif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erif" w:hAnsi="Liberation Serif" w:eastAsia="Liberation Serif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erif" w:hAnsi="Liberation Serif" w:eastAsia="Liberation Serif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erif" w:hAnsi="Liberation Serif" w:eastAsia="Liberation Serif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erif" w:hAnsi="Liberation Serif" w:eastAsia="Liberation Serif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erif" w:hAnsi="Liberation Serif" w:eastAsia="Liberation Serif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erif" w:hAnsi="Liberation Serif" w:eastAsia="Liberation Serif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comercial y de diseño PRJ 005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