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partes interesadas riesgos y oportunidades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CC-MT-01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Matriz | Dirección general</w:t>
      </w:r>
    </w:p>
    <w:p>
      <w:pPr>
        <w:spacing w:after="60"/>
      </w:pPr>
      <w:r>
        <w:rPr>
          <w:b/>
        </w:rPr>
        <w:t xml:space="preserve">Responsable: </w:t>
      </w:r>
      <w:r>
        <w:t>Valentina Ríos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Registra las necesidades de las partes interesadas, los principales riesgos y las oportunidades del ciclo 2025. Relaciona cada asunto con un control, evidencia y responsable.</w:t>
      </w:r>
    </w:p>
    <w:p>
      <w:r>
        <w:rPr>
          <w:sz w:val="18"/>
        </w:rPr>
        <w:t>Referencia temática ISO 9001:2015: 4.1, 4.2, 6.1.</w:t>
      </w:r>
    </w:p>
    <w:p>
      <w:pPr>
        <w:pStyle w:val="Heading1"/>
      </w:pPr>
      <w:r>
        <w:t>Criterio de revisión</w:t>
      </w:r>
    </w:p>
    <w:p>
      <w:r>
        <w:t>Corte: 31 de diciembre de 2025. Los líderes revisan la matriz al menos trimestralmente y cuando ocurre un cambio significativo. Las puntuaciones son decisiones internas sintéticas: P e I usan la escala de uno a cinco definida en CC-PR-02. Las acciones futuras conservan su estado y no reducen el riesgo residual hasta comprobar su aplicación.</w:t>
      </w:r>
    </w:p>
    <w:p>
      <w:pPr>
        <w:pStyle w:val="Heading1"/>
      </w:pPr>
      <w:r>
        <w:t>Partes interesadas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Parte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Necesidad pertinente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Clientes B2B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Solución que funcione en el espacio, costo y fechas claros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Revisión contractual y diseño; CC-RG-01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Compradores B2C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Información precisa, entrega y respuesta a reclamos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Catálogo revisado; pedido y ticket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Personal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Criterios claros y formación aplicable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Perfiles, evaluación y delegación; CC-RG-05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Proveedores y contratistas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Especificaciones, recepción y pagos definidos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Orden y evaluación; CC-RG-02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Dirección y socios ficticios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Continuidad, recursos y resultados confiables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Indicadores y revisión; CC-MT-02 y CC-AC-01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Autoridades pertinentes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Atención de obligaciones que realmente apliquen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Matriz contractual y normativa interna de Legal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Vecindad y responsables de sedes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Trabajo coordinado y control de afectaciones del montaje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Acta de condiciones del lugar y plan de trabajo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Riesgos priorizados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ID y riesgo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P por I inicial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Control y acción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Dueño y seguimiento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R-01 Demora de equipo importado altera la fecha prometida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4 por 4 = 16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Confirmar disponibilidad antes de ofertar; segunda opción técnica aprobada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Daniela Suárez;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R-02 Lluvias interrumpen ruta a Cali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por 4 = 12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Ventana de contingencia y ruta alterna; informar a ventas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Felipe Ospina; cada despacho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R-03 Humedad deteriora café o empaque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por 3 = 9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Condiciones de conservación y revisión por lote; aislar daño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Paola Cárdenas; semanal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R-04 Error de medida del espacio provoca retrabajo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por 4 = 12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Revisión de levantamiento y validación con cliente antes de comprar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Isabel Restrepo; por proyecto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R-05 Inventario web desactualizado genera venta sin stock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4 por 3 = 12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Reserva y conciliación de pedidos; alertas de excepción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Nicolás Acosta; diario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R-06 Instrumento fuera de vigencia afecta liberación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2 por 5 = 10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Bloquear uso; evaluar trabajos medidos; sustituir equipo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Ricardo Muñoz;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R-07 Pérdida de registros impide demostrar aceptación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2 por 4 = 8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Respaldar y comprobar recuperación; accesos por rol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Santiago Robledo; mensual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R-08 Uso de un procedimiento obsoleto altera el control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por 3 = 9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Revisar lista maestra y retirar copias; acción AC-2025-018 cerrada el 09/12; mantener vigilancia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Ricardo Muñoz; noviembre a enero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R-09 Cambio de suministro de agua afecta operación prevista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por 3 = 9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Consultar condiciones del lugar y requisitos del equipo en diseño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Andrés Molina; por proyecto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R-10 Capacitación sin evaluación deja tarea no autorizada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3 por 4 = 12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Lista de autorizaciones; supervisión hasta validación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Clara Ramírez; mensual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Oportunidades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22"/>
        <w:gridCol w:w="2847"/>
        <w:gridCol w:w="3660"/>
        <w:gridCol w:w="2338"/>
      </w:tblGrid>
      <w:tr>
        <w:trPr>
          <w:tblHeader w:val="true"/>
          <w:cantSplit/>
        </w:trPr>
        <w:tc>
          <w:tcPr>
            <w:tcW w:type="dxa" w:w="1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Beneficio y acción</w:t>
            </w:r>
          </w:p>
        </w:tc>
        <w:tc>
          <w:tcPr>
            <w:tcW w:type="dxa" w:w="36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Medida de resultado</w:t>
            </w:r>
          </w:p>
        </w:tc>
        <w:tc>
          <w:tcPr>
            <w:tcW w:type="dxa" w:w="23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1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Agrupar despachos por ciudad con aprobación del cliente</w:t>
            </w:r>
          </w:p>
        </w:tc>
        <w:tc>
          <w:tcPr>
            <w:tcW w:type="dxa" w:w="36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Reducir 10 % costo por entrega sin bajar puntualidad</w:t>
            </w:r>
          </w:p>
        </w:tc>
        <w:tc>
          <w:tcPr>
            <w:tcW w:type="dxa" w:w="23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Felipe Ospina</w:t>
            </w:r>
          </w:p>
        </w:tc>
      </w:tr>
      <w:tr>
        <w:trPr>
          <w:cantSplit/>
        </w:trPr>
        <w:tc>
          <w:tcPr>
            <w:tcW w:type="dxa" w:w="1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O-02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Kit de instalación por tipo de máquina</w:t>
            </w:r>
          </w:p>
        </w:tc>
        <w:tc>
          <w:tcPr>
            <w:tcW w:type="dxa" w:w="36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Reducir retrabajo de montaje a 4 % o menos</w:t>
            </w:r>
          </w:p>
        </w:tc>
        <w:tc>
          <w:tcPr>
            <w:tcW w:type="dxa" w:w="23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Óscar Benítez</w:t>
            </w:r>
          </w:p>
        </w:tc>
      </w:tr>
      <w:tr>
        <w:trPr>
          <w:cantSplit/>
        </w:trPr>
        <w:tc>
          <w:tcPr>
            <w:tcW w:type="dxa" w:w="1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O-03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Guía de compatibilidad en tienda electrónica</w:t>
            </w:r>
          </w:p>
        </w:tc>
        <w:tc>
          <w:tcPr>
            <w:tcW w:type="dxa" w:w="36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Reducir devoluciones por selección equivocada</w:t>
            </w:r>
          </w:p>
        </w:tc>
        <w:tc>
          <w:tcPr>
            <w:tcW w:type="dxa" w:w="23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Nicolás Acosta</w:t>
            </w:r>
          </w:p>
        </w:tc>
      </w:tr>
      <w:tr>
        <w:trPr>
          <w:cantSplit/>
        </w:trPr>
        <w:tc>
          <w:tcPr>
            <w:tcW w:type="dxa" w:w="13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O-04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Transferir lecciones de PRJ-005 a formación</w:t>
            </w:r>
          </w:p>
        </w:tc>
        <w:tc>
          <w:tcPr>
            <w:tcW w:type="dxa" w:w="36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100 % de instaladores objetivo evaluados</w:t>
            </w:r>
          </w:p>
        </w:tc>
        <w:tc>
          <w:tcPr>
            <w:tcW w:type="dxa" w:w="23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Clara Ramírez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Decisiones y pendientes</w:t>
      </w:r>
    </w:p>
    <w:p>
      <w:r>
        <w:t>Los riesgos R-01, R-02, R-04, R-05 y R-10 tienen prioridad alta y se revisan mensualmente. R-06 recibe tratamiento específico por su posible impacto aunque la puntuación agregada no sea alta. Las oportunidades O-01 y O-02 pasan a evaluación de recursos en CC-AC-01. El efecto de cada control se registra en su expediente; esta matriz no declara que todas las acciones estén cerradas.</w:t>
      </w:r>
    </w:p>
    <w:p>
      <w:r>
        <w:t>El cambio climático se considera pertinente por su efecto sobre rutas, humedad, disponibilidad de café y condiciones de suministro de agua. La organización distingue estos efectos de promesas de desempeño ambiental que no haya verificado. Las solicitudes climáticas de clientes se revisan contractualmente antes de aceptarse.</w:t>
      </w:r>
    </w:p>
    <w:p>
      <w:pPr>
        <w:pStyle w:val="Heading1"/>
      </w:pPr>
      <w:r>
        <w:t>Documentos relacionados</w:t>
      </w:r>
    </w:p>
    <w:p>
      <w:r>
        <w:t>CC-PR-02 | CC-AC-01 | CC-RG-04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2025-12-31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CC-MT-01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partes interesadas riesgos y oportunidades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