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Dirección y gestión del sistema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2025-10-06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Dirección general</w:t>
      </w:r>
    </w:p>
    <w:p>
      <w:pPr>
        <w:spacing w:after="60"/>
      </w:pPr>
      <w:r>
        <w:rPr>
          <w:b/>
        </w:rPr>
        <w:t xml:space="preserve">Responsable: </w:t>
      </w:r>
      <w:r>
        <w:t>Valentina Ríos | Directora general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La Dirección define el rumbo de Company Co, asigna recursos y revisa si las operaciones cumplen lo prometido a los clientes. Este proceso cubre las cinco instalaciones, los canales B2B y B2C y la coordinación de los 17 departamentos.</w:t>
      </w:r>
    </w:p>
    <w:p>
      <w:r>
        <w:rPr>
          <w:sz w:val="18"/>
        </w:rPr>
        <w:t>Referencia temática ISO 9001:2015: 4.1, 4.2, 4.3, 4.4, 5.1, 5.2, 5.3, 6.2, 9.3.</w:t>
      </w:r>
    </w:p>
    <w:p>
      <w:pPr>
        <w:pStyle w:val="Heading1"/>
      </w:pPr>
      <w:r>
        <w:t>Propósito y alcance</w:t>
      </w:r>
    </w:p>
    <w:p>
      <w:r>
        <w:t>El sistema comprende consultoría, diseño de espacios para cafeterías, comercialización de equipos e insumos, montaje, capacitación y posventa. La Dirección revisa tanto resultados financieros como calidad del servicio; una venta cerrada no compensa una entrega incompleta o una instalación pendiente de liberación. La fabricación de los equipos corresponde a proveedores externos y se controla desde Compras.</w:t>
      </w:r>
    </w:p>
    <w:p>
      <w:pPr>
        <w:pStyle w:val="Heading1"/>
      </w:pPr>
      <w:r>
        <w:t>Entradas y resultados</w:t>
      </w:r>
    </w:p>
    <w:p>
      <w:r>
        <w:t>Recibimos de Finanzas el cierre por canal; de Servicio al cliente, reclamos y satisfacción; de Calidad, auditorías y acciones; y de los demás líderes, capacidad, riesgos y propuestas. Entregamos prioridades, metas, presupuesto autorizado y decisiones con responsable y vencimiento. Los cambios de alcance se comunican a Ventas, Consultoría y Diseño antes de ofrecerlos al mercado.</w:t>
      </w:r>
    </w:p>
    <w:p>
      <w:pPr>
        <w:pStyle w:val="Heading1"/>
      </w:pPr>
      <w:r>
        <w:t>Responsables y autoridad</w:t>
      </w:r>
    </w:p>
    <w:p>
      <w:r>
        <w:t>Valentina Ríos aprueba política, objetivos y cambios mayores. Ricardo Muñoz consolida la información del sistema y verifica el seguimiento. Cada líder responde por la precisión de sus datos y por elevar desviaciones que no pueda resolver. Una suplencia debe indicar límites y duración; la delegación DG-2025-017 mantiene a Clara Ramírez como encargada operativa de Talento humano, sin modificar el registro de Camila Duarte.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Revisar trimestralmente contexto, interesados y cambios del negocio en CC-MT-01, incluyendo efectos del clima sobre transporte, suministro de café y continuidad de servicios.</w:t>
      </w:r>
    </w:p>
    <w:p>
      <w:pPr>
        <w:ind w:left="216" w:hanging="216"/>
      </w:pPr>
      <w:r>
        <w:t>2. Contrastar la política con las necesidades del cliente y la capacidad disponible. Si un compromiso comercial supera esa capacidad, decidir recursos o ajustar la promesa antes de aceptarla.</w:t>
      </w:r>
    </w:p>
    <w:p>
      <w:pPr>
        <w:ind w:left="216" w:hanging="216"/>
      </w:pPr>
      <w:r>
        <w:t>3. Aprobar objetivos con fórmula, responsable y plazo en CC-MT-02. Conservar por separado la línea base anual y el resultado de cada periodo.</w:t>
      </w:r>
    </w:p>
    <w:p>
      <w:pPr>
        <w:ind w:left="216" w:hanging="216"/>
      </w:pPr>
      <w:r>
        <w:t>4. Asignar presupuesto y responsables a las acciones priorizadas. Finanzas verifica disponibilidad y cada área confirma la fecha viable de ejecución.</w:t>
      </w:r>
    </w:p>
    <w:p>
      <w:pPr>
        <w:ind w:left="216" w:hanging="216"/>
      </w:pPr>
      <w:r>
        <w:t>5. Celebrar seguimiento mensual de desviaciones. Las entregas fuera de plazo o reclamos repetidos requieren análisis, aunque el promedio comercial sea favorable.</w:t>
      </w:r>
    </w:p>
    <w:p>
      <w:pPr>
        <w:ind w:left="216" w:hanging="216"/>
      </w:pPr>
      <w:r>
        <w:t>6. Realizar la revisión anual por la dirección usando CC-AC-01. Registrar decisiones sobre recursos, oportunidades, eficacia de acciones y cambios del sistema.</w:t>
      </w:r>
    </w:p>
    <w:p>
      <w:pPr>
        <w:ind w:left="216" w:hanging="216"/>
      </w:pPr>
      <w:r>
        <w:t>7. Verificar el cierre con evidencia del resultado, no solo con la declaración del responsable. Reprogramar una acción conserva su fecha original y la razón del cambio.</w:t>
      </w:r>
    </w:p>
    <w:p>
      <w:pPr>
        <w:pStyle w:val="Heading1"/>
      </w:pPr>
      <w:r>
        <w:t>Riesgos y respuesta</w:t>
      </w:r>
    </w:p>
    <w:p>
      <w:pPr>
        <w:pStyle w:val="ListBullet"/>
      </w:pPr>
      <w:r>
        <w:t>Datos incompatibles entre áreas: Calidad identifica fuente, periodo y unidad antes de consolidarlos; un indicador sin soporte queda pendiente de validación.</w:t>
      </w:r>
    </w:p>
    <w:p>
      <w:pPr>
        <w:pStyle w:val="ListBullet"/>
      </w:pPr>
      <w:r>
        <w:t>Crecimiento superior a la capacidad: revisar carga de montaje, stock y proveedores antes de aprobar campañas o contratos relevantes.</w:t>
      </w:r>
    </w:p>
    <w:p>
      <w:pPr>
        <w:pStyle w:val="ListBullet"/>
      </w:pPr>
      <w:r>
        <w:t>Decisiones verbales sin seguimiento: registrar el acuerdo, dueño y vencimiento en el acta correspondiente dentro de dos días hábiles.</w:t>
      </w:r>
    </w:p>
    <w:p>
      <w:pPr>
        <w:pStyle w:val="Heading1"/>
      </w:pPr>
      <w:r>
        <w:t>Indicadores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 y fórmula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Meta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Frecuencia y 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Acciones directivas oportunas = cerradas en plazo / vencidas en el periodo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90 % o más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Ricardo Muñoz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Revisiones con entradas completas = revisiones con todos los insumos / revisiones realizadas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100 %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Trimestral | Valentina Ríos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utilizan el tablero de gestión, el repositorio documental y reuniones con los líderes. Las actas conservan asistentes, decisiones y evidencia enlazada. CC-AC-01 presenta una muestra de revisión; CC-MT-01 y CC-MT-02 contienen el contexto y los objetivos. La aprobación registrada es una decisión interna y no sustituye la evaluación externa de conformidad.</w:t>
      </w:r>
    </w:p>
    <w:p>
      <w:pPr>
        <w:pStyle w:val="Heading1"/>
      </w:pPr>
      <w:r>
        <w:t>Criterio de cierre e interacción</w:t>
      </w:r>
    </w:p>
    <w:p>
      <w:r>
        <w:t>El ciclo queda cerrado cuando las decisiones están comunicadas y su eficacia ha sido revisada. Las necesidades de personas pasan a Talento humano, las de presupuesto a Finanzas y las de cambios al responsable del proceso afectado. Calidad verifica la integridad del seguimiento en la siguiente revisión.</w:t>
      </w:r>
    </w:p>
    <w:p>
      <w:pPr>
        <w:pStyle w:val="Heading1"/>
      </w:pPr>
      <w:r>
        <w:t>Documentos relacionados</w:t>
      </w:r>
    </w:p>
    <w:p>
      <w:r>
        <w:t>CC-MC-01 | CC-MT-01 | CC-MT-02 | CC-AC-01 | CC-CP-02 | CC-CP-03 | CC-CP-16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2025-10-06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precisa el control de suplencias y la verificación de eficacia de acuerdos.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CC-CP-01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y gestión del sistema de calidad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