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Venta consultiva y contratación B2B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CC-CP-06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05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2025-04-22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Caracterización de proceso | Ventas B2B</w:t>
      </w:r>
    </w:p>
    <w:p>
      <w:pPr>
        <w:spacing w:after="60"/>
      </w:pPr>
      <w:r>
        <w:rPr>
          <w:b/>
        </w:rPr>
        <w:t xml:space="preserve">Responsable: </w:t>
      </w:r>
      <w:r>
        <w:t>Sebastián Vélez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Ventas B2B convierte oportunidades en compromisos que la compañía puede cumplir. La revisión de requisitos ocurre antes de aceptar el contrato y se repite cuando el cliente modifica alcance, precio, fechas o condiciones de aprobación.</w:t>
      </w:r>
    </w:p>
    <w:p>
      <w:r>
        <w:rPr>
          <w:sz w:val="18"/>
        </w:rPr>
        <w:t>Referencia temática ISO 9001:2015: 4.4, 8.2, 8.3, 8.5.6.</w:t>
      </w:r>
    </w:p>
    <w:p>
      <w:pPr>
        <w:pStyle w:val="Heading1"/>
      </w:pPr>
      <w:r>
        <w:t>Propósito y alcance</w:t>
      </w:r>
    </w:p>
    <w:p>
      <w:r>
        <w:t>Comprende prospección calificada, levantamiento comercial, coordinación de la propuesta, negociación y entrega al equipo de proyecto. Cubre consultoría, diseño, aprovisionamiento, montaje, capacitación y mantenimiento de cafeterías. El asesor conserva la relación comercial durante la ejecución, pero no libera entregables técnicos. Las cotizaciones se expresan en COP e identifican si los valores son netos o incluyen impuestos, sin asumir condiciones no acordadas.</w:t>
      </w:r>
    </w:p>
    <w:p>
      <w:pPr>
        <w:pStyle w:val="Heading1"/>
      </w:pPr>
      <w:r>
        <w:t>Entradas resultados e interacciones</w:t>
      </w:r>
    </w:p>
    <w:p>
      <w:r>
        <w:t>Entradas: oportunidad de Marketing, solicitud directa, necesidades del comprador y antecedentes de cuenta. Consultoría y Diseño aportan viabilidad; Compras confirma suministro; Finanzas revisa condiciones de pago; Legal examina riesgos contractuales.</w:t>
      </w:r>
    </w:p>
    <w:p>
      <w:r>
        <w:t>Salidas: requisitos aceptados, oferta versionada, contrato u orden confirmada y traspaso al responsable del proyecto. Para CUS-003, PRJ-005 La Estación, la referencia es COT-2025-144 por COP 150.000.000 netos antes de impuestos aplicables.</w:t>
      </w:r>
    </w:p>
    <w:p>
      <w:pPr>
        <w:pStyle w:val="Heading1"/>
      </w:pPr>
      <w:r>
        <w:t>Responsables y autoridad</w:t>
      </w:r>
    </w:p>
    <w:p>
      <w:r>
        <w:t>Sebastián Vélez responde por la integridad de la oferta y el registro de excepciones. El ejecutivo comercial mantiene el expediente y confirma la autoridad del interlocutor. Andrés Molina valida el alcance de consultoría e Isabel Restrepo el de diseño. Finanzas valida pagos y garantías comerciales; Natalia Escobar revisa las condiciones que requieren tratamiento legal.</w:t>
      </w:r>
    </w:p>
    <w:p>
      <w:pPr>
        <w:pStyle w:val="Heading1"/>
      </w:pPr>
      <w:r>
        <w:t>Actividades y controles</w:t>
      </w:r>
    </w:p>
    <w:p>
      <w:pPr>
        <w:ind w:left="216" w:hanging="216"/>
      </w:pPr>
      <w:r>
        <w:t>1. Registrar oportunidad, cuenta y contacto decisor. Diferenciar comprador, aprobador, receptor y contacto de facturación; confirmar qué persona puede aceptar cada compromiso.</w:t>
      </w:r>
    </w:p>
    <w:p>
      <w:pPr>
        <w:ind w:left="216" w:hanging="216"/>
      </w:pPr>
      <w:r>
        <w:t>2. Recoger requisitos y criterios de aceptación. Documentar exclusiones, tareas del cliente, restricciones de obra y fecha deseada, evitando expresiones abiertas como todo incluido.</w:t>
      </w:r>
    </w:p>
    <w:p>
      <w:pPr>
        <w:ind w:left="216" w:hanging="216"/>
      </w:pPr>
      <w:r>
        <w:t>3. Solicitar la revisión de factibilidad a los procesos implicados. Mantener visibles los supuestos y las partidas sin confirmar; una cotización preliminar no se considera contrato.</w:t>
      </w:r>
    </w:p>
    <w:p>
      <w:pPr>
        <w:ind w:left="216" w:hanging="216"/>
      </w:pPr>
      <w:r>
        <w:t>4. Emitir oferta con número y revisión, alcance, entregables, hitos, precio, vigencia y pagos. Identificar explícitamente la versión que reemplaza y conservar su historial.</w:t>
      </w:r>
    </w:p>
    <w:p>
      <w:pPr>
        <w:ind w:left="216" w:hanging="216"/>
      </w:pPr>
      <w:r>
        <w:t>5. Revisar con Finanzas y Legal las desviaciones de las condiciones estándar. Obtener las aprobaciones internas exigidas antes de aceptar descuentos o compromisos especiales.</w:t>
      </w:r>
    </w:p>
    <w:p>
      <w:pPr>
        <w:ind w:left="216" w:hanging="216"/>
      </w:pPr>
      <w:r>
        <w:t>6. Confirmar aceptación del cliente y resolver diferencias con su orden de compra. Si persiste una discrepancia, suspender el inicio afectado y dejar constancia del motivo.</w:t>
      </w:r>
    </w:p>
    <w:p>
      <w:pPr>
        <w:ind w:left="216" w:hanging="216"/>
      </w:pPr>
      <w:r>
        <w:t>7. Realizar traspaso a Consultoría con expediente completo. Registrar responsables, fechas, requisitos de aceptación y condición de inicio; obtener acuse del líder de proyecto.</w:t>
      </w:r>
    </w:p>
    <w:p>
      <w:pPr>
        <w:ind w:left="216" w:hanging="216"/>
      </w:pPr>
      <w:r>
        <w:t>8. Gestionar cambios con CC-FO-01. Evaluar efecto técnico, económico y de plazo antes de confirmar al cliente; actualizar el expediente y avisar a todas las áreas afectadas.</w:t>
      </w:r>
    </w:p>
    <w:p>
      <w:pPr>
        <w:pStyle w:val="Heading1"/>
      </w:pPr>
      <w:r>
        <w:t>Riesgos y respuesta operativa</w:t>
      </w:r>
    </w:p>
    <w:p>
      <w:pPr>
        <w:pStyle w:val="ListBullet"/>
      </w:pPr>
      <w:r>
        <w:t>Compromiso incompatible con disponibilidad o instalación: exigir revisión de factibilidad y segunda lectura de la propuesta. La presión comercial no elimina el punto de control.</w:t>
      </w:r>
    </w:p>
    <w:p>
      <w:pPr>
        <w:pStyle w:val="ListBullet"/>
      </w:pPr>
      <w:r>
        <w:t>Cambio comunicado solo por mensajería: resumir la solicitud en el expediente, confirmar su interpretación con el cliente y mantener la versión anterior hasta que se apruebe la nueva.</w:t>
      </w:r>
    </w:p>
    <w:p>
      <w:pPr>
        <w:pStyle w:val="Heading1"/>
      </w:pPr>
      <w:r>
        <w:t>Seguimiento del proceso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Indicador y cálculo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Meta interna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Frecuencia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Responsable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Contratos con revisión completa / contratos aceptados × 100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Mensual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Sebastián Vélez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Traspasos aceptados sin devolución / traspasos realizados × 100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≥95%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Mensual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Ventas y Consultoría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Recursos y registros</w:t>
      </w:r>
    </w:p>
    <w:p>
      <w:r>
        <w:t>Se utiliza CRM, catálogo de servicios y repositorio de ofertas. La cotización, aceptación, revisión contractual y traspaso permanecen vinculados por cuenta y proyecto. CC-RG-01 muestra un expediente diligenciado. CC-FO-01 recoge modificaciones y CC-PR-01 regula su conservación y acceso; no se guardan credenciales del cliente.</w:t>
      </w:r>
    </w:p>
    <w:p>
      <w:pPr>
        <w:pStyle w:val="Heading1"/>
      </w:pPr>
      <w:r>
        <w:t>Entrega y revisión del proceso</w:t>
      </w:r>
    </w:p>
    <w:p>
      <w:r>
        <w:t>El traspaso comercial termina cuando Consultoría reconoce la línea base y sus pendientes. Los anticipos se confirman con Finanzas antes de habilitar compromisos de compra que los requieran. Mensualmente Sebastián revisa causas de ofertas perdidas y reclamos por expectativas, separando fallas comerciales de cambios solicitados posteriormente por el cliente.</w:t>
      </w:r>
    </w:p>
    <w:p>
      <w:pPr>
        <w:pStyle w:val="Heading1"/>
      </w:pPr>
      <w:r>
        <w:t>Documentos relacionados</w:t>
      </w:r>
    </w:p>
    <w:p>
      <w:r>
        <w:t>CC-CP-02 | CC-CP-04 | CC-CP-09 | CC-CP-15 | CC-CP-17 | CC-RG-01 | CC-FO-01 | CC-PR-01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05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2025-04-22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 añade revisión explícita de la autoridad del aprobador del cliente.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CC-CP-06 r05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Venta consultiva y contratación B2B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