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Recepción almacenamiento y control de inventario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CC-CP-11</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05</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2025-08-18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Inventarios</w:t>
      </w:r>
    </w:p>
    <w:p>
      <w:pPr>
        <w:spacing w:after="60"/>
      </w:pPr>
      <w:r>
        <w:rPr>
          <w:b/>
        </w:rPr>
        <w:t xml:space="preserve">Responsable: </w:t>
      </w:r>
      <w:r>
        <w:t>Paola Cárdenas</w:t>
      </w:r>
    </w:p>
    <w:p>
      <w:pPr>
        <w:spacing w:after="60"/>
      </w:pPr>
      <w:r>
        <w:rPr>
          <w:b/>
        </w:rPr>
        <w:t xml:space="preserve">Aprobación interna: </w:t>
      </w:r>
      <w:r>
        <w:t>Valentina Ríos</w:t>
      </w:r>
    </w:p>
    <w:p>
      <w:pPr>
        <w:spacing w:before="100"/>
      </w:pPr>
      <w:r>
        <w:t>Inventarios mantiene la identidad, condición y disponibilidad de los productos bajo custodia de Company Co. La existencia contable debe corresponder con ubicación y estado físico, distinguiendo unidades disponibles, reservadas, en revisión y no conformes.</w:t>
      </w:r>
    </w:p>
    <w:p>
      <w:r>
        <w:rPr>
          <w:sz w:val="18"/>
        </w:rPr>
        <w:t>Referencia temática ISO 9001:2015: 4.4, 8.5.2, 8.5.4, 8.6, 8.7.</w:t>
      </w:r>
    </w:p>
    <w:p>
      <w:pPr>
        <w:pStyle w:val="Heading1"/>
      </w:pPr>
      <w:r>
        <w:t>Propósito y alcance</w:t>
      </w:r>
    </w:p>
    <w:p>
      <w:r>
        <w:t>Aplica a recepción, almacenamiento, conservación, conteos, reservas, transferencias y preparación de pedidos en bodega y showrooms. Incluye equipos serializados y lotes de café e insumos cuando corresponda. El proceso no autoriza dar de baja diferencias sin análisis ni vender productos retenidos. Las unidades de demostración y las devoluciones se identifican por separado para no confundirlas con inventario nuevo.</w:t>
      </w:r>
    </w:p>
    <w:p>
      <w:pPr>
        <w:pStyle w:val="Heading1"/>
      </w:pPr>
      <w:r>
        <w:t>Entradas resultados e interacciones</w:t>
      </w:r>
    </w:p>
    <w:p>
      <w:r>
        <w:t>Entradas: orden de compra, documentos de transporte, especificación y requisitos de inspección. Compras comunica cambios autorizados; Calidad define verificación adicional para suministros críticos o proveedores condicionados.</w:t>
      </w:r>
    </w:p>
    <w:p>
      <w:r>
        <w:t>Resultados: recepción conforme o retenida, ubicación, saldo por estado y entrega preparada. Ventas y E-commerce consultan disponibilidad; Logística recibe cantidades verificadas. Los ejemplos de orden, recepción y entrega se relacionan en CC-RG-02.</w:t>
      </w:r>
    </w:p>
    <w:p>
      <w:pPr>
        <w:pStyle w:val="Heading1"/>
      </w:pPr>
      <w:r>
        <w:t>Responsables y autoridad</w:t>
      </w:r>
    </w:p>
    <w:p>
      <w:r>
        <w:t>Paola Cárdenas controla ubicaciones, conteos y ajustes. El receptor verifica contra orden y entrega; Calidad decide disposición cuando el producto falla. Compras resuelve diferencias con el proveedor. Finanzas concilia el efecto económico de ajustes autorizados. La misma persona no aprueba por sí sola una diferencia que detectó y registró.</w:t>
      </w:r>
    </w:p>
    <w:p>
      <w:pPr>
        <w:pStyle w:val="Heading1"/>
      </w:pPr>
      <w:r>
        <w:t>Actividades y controles</w:t>
      </w:r>
    </w:p>
    <w:p>
      <w:pPr>
        <w:ind w:left="216" w:hanging="216"/>
      </w:pPr>
      <w:r>
        <w:t>1. Programar la recepción y comprobar la orden vigente. Confirmar que las cantidades y la identificación coincidan con los documentos; registrar sobrantes, faltantes y entregas parciales.</w:t>
      </w:r>
    </w:p>
    <w:p>
      <w:pPr>
        <w:ind w:left="216" w:hanging="216"/>
      </w:pPr>
      <w:r>
        <w:t>2. Inspeccionar empaque, accesorios e identificación. Registrar seriales o lotes cuando aplican y ejecutar el control adicional definido; retener físicamente lo que no pueda liberarse.</w:t>
      </w:r>
    </w:p>
    <w:p>
      <w:pPr>
        <w:ind w:left="216" w:hanging="216"/>
      </w:pPr>
      <w:r>
        <w:t>3. Asignar ubicación y estado antes de actualizar disponibilidad. Etiquetar la mercancía retenida con motivo y responsable, evitando su selección accidental para un pedido.</w:t>
      </w:r>
    </w:p>
    <w:p>
      <w:pPr>
        <w:ind w:left="216" w:hanging="216"/>
      </w:pPr>
      <w:r>
        <w:t>4. Almacenar conforme a condiciones del producto y proteger frente a humedad, golpes o contaminación. Para consumibles con vencimiento, aplicar salida por fecha de expiración más próxima.</w:t>
      </w:r>
    </w:p>
    <w:p>
      <w:pPr>
        <w:ind w:left="216" w:hanging="216"/>
      </w:pPr>
      <w:r>
        <w:t>5. Reservar por pedido y evitar doble asignación. Revisar reservas vencidas con Ventas; una cancelación requiere liberación trazable y no el borrado del historial.</w:t>
      </w:r>
    </w:p>
    <w:p>
      <w:pPr>
        <w:ind w:left="216" w:hanging="216"/>
      </w:pPr>
      <w:r>
        <w:t>6. Preparar la entrega usando identificación y cantidad de la orden. Verificar serial o lote, accesorios y condición; documentar la transferencia de custodia a Logística.</w:t>
      </w:r>
    </w:p>
    <w:p>
      <w:pPr>
        <w:ind w:left="216" w:hanging="216"/>
      </w:pPr>
      <w:r>
        <w:t>7. Realizar conteos cíclicos por criticidad y rotación. Investigar diferencias mediante movimientos y documentos; pedir autorización del ajuste antes de modificar el saldo.</w:t>
      </w:r>
    </w:p>
    <w:p>
      <w:pPr>
        <w:ind w:left="216" w:hanging="216"/>
      </w:pPr>
      <w:r>
        <w:t>8. Recibir devoluciones en zona diferenciada. Vincular orden de origen y estado, solicitar decisión de Calidad y mantener bloqueada la venta hasta completar la evaluación.</w:t>
      </w:r>
    </w:p>
    <w:p>
      <w:pPr>
        <w:pStyle w:val="Heading1"/>
      </w:pPr>
      <w:r>
        <w:t>Riesgos y respuesta operativa</w:t>
      </w:r>
    </w:p>
    <w:p>
      <w:pPr>
        <w:pStyle w:val="ListBullet"/>
      </w:pPr>
      <w:r>
        <w:t>Confusión entre producto disponible y retenido: identificación visible, segregación y bloqueo en el sistema. La liberación exige responsable autorizado y evidencia del criterio satisfecho.</w:t>
      </w:r>
    </w:p>
    <w:p>
      <w:pPr>
        <w:pStyle w:val="ListBullet"/>
      </w:pPr>
      <w:r>
        <w:t>Diferencia de existencias que genera sobreventa: conteos cíclicos y revisión de reservas. Ante discrepancia, restringir el SKU afectado y verificar pedidos comprometidos antes de reabrir disponibilidad.</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Referencias sin diferencia / referencias contadas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≥98%</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Paola Cárdenas</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Recepciones con trazabilidad completa / recepciones revisadas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100%</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Semanal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Inventarios</w:t>
            </w:r>
          </w:p>
        </w:tc>
      </w:tr>
    </w:tbl>
    <w:p>
      <w:pPr>
        <w:spacing w:after="20" w:before="0" w:line="240" w:lineRule="auto"/>
      </w:pPr>
      <w:r>
        <w:rPr>
          <w:sz w:val="4"/>
        </w:rPr>
      </w:r>
    </w:p>
    <w:p>
      <w:pPr>
        <w:pStyle w:val="Heading1"/>
      </w:pPr>
      <w:r>
        <w:t>Recursos y registros</w:t>
      </w:r>
    </w:p>
    <w:p>
      <w:r>
        <w:t>El proceso requiere ubicaciones señalizadas, elementos de conservación, equipos de movimiento adecuados y un sistema de stock con usuarios identificados. Registros: recepción, inspección, lotes, seriales, movimientos, conteos y ajustes. CC-FO-02 recoge no conformidades; CC-RG-02 aporta registros diligenciados. La documentación se conserva según CC-PR-01.</w:t>
      </w:r>
    </w:p>
    <w:p>
      <w:pPr>
        <w:pStyle w:val="Heading1"/>
      </w:pPr>
      <w:r>
        <w:t>Entrega y revisión del proceso</w:t>
      </w:r>
    </w:p>
    <w:p>
      <w:r>
        <w:t>Paola entrega disponibilidad confirmada a los canales comerciales y una lista de diferencias abiertas a Compras y Finanzas. El catálogo de referencia comprende 1.200 SKU activos; los seis SKU de muestra no representan todo ese universo. Mensualmente se revisan pérdidas, retenciones envejecidas y errores repetidos para priorizar mejoras sin ocultar movimientos históricos.</w:t>
      </w:r>
    </w:p>
    <w:p>
      <w:pPr>
        <w:pStyle w:val="Heading1"/>
      </w:pPr>
      <w:r>
        <w:t>Documentos relacionados</w:t>
      </w:r>
    </w:p>
    <w:p>
      <w:r>
        <w:t>CC-CP-02 | CC-CP-05 | CC-CP-08 | CC-CP-09 | CC-CP-10 | CC-CP-16 | CC-RG-02 | CC-FO-02 | CC-PR-01</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05</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2025-08-18</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separa explícitamente el inventario devuelto y el usado para demostración.</w:t>
            </w:r>
          </w:p>
        </w:tc>
      </w:tr>
    </w:tbl>
    <w:p>
      <w:pPr>
        <w:spacing w:after="20" w:before="0" w:line="240" w:lineRule="auto"/>
      </w:pPr>
      <w:r>
        <w:rPr>
          <w:sz w:val="4"/>
        </w:rPr>
      </w:r>
    </w:p>
    <w:sectPr w:rsidR="00FC693F" w:rsidRPr="0006063C" w:rsidSect="00034616">
      <w:headerReference w:type="default" r:id="rId9"/>
      <w:footerReference w:type="default" r:id="rId10"/>
      <w:pgSz w:w="12240" w:h="15840"/>
      <w:pgMar w:top="950" w:right="1037" w:bottom="965"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05050"/>
        <w:sz w:val="16"/>
      </w:rPr>
      <w:t xml:space="preserve">Expediente ficticio para pruebas  |  CC-CP-11 r05  |  </w:t>
    </w:r>
    <w:r>
      <w:rPr>
        <w:rFonts w:ascii="Liberation Sans" w:hAnsi="Liberation Sans"/>
        <w:color w:val="505050"/>
        <w:sz w:val="16"/>
      </w:rPr>
    </w:r>
    <w:fldSimple w:instr="PAGE">
      <w:r>
        <w:rPr>
          <w:rFonts w:ascii="Liberation Sans" w:hAnsi="Liberation Sans"/>
          <w:sz w:val="16"/>
          <w:color w:val="505050"/>
        </w:rPr>
        <w:t>1</w:t>
      </w:r>
    </w:fldSimple>
    <w:r>
      <w:rPr>
        <w:rFonts w:ascii="Liberation Sans" w:hAnsi="Liberation Sans"/>
        <w:color w:val="505050"/>
        <w:sz w:val="16"/>
      </w:rPr>
      <w:t xml:space="preserve"> / </w:t>
    </w:r>
    <w:r>
      <w:rPr>
        <w:rFonts w:ascii="Liberation Sans" w:hAnsi="Liberation Sans"/>
        <w:color w:val="505050"/>
        <w:sz w:val="16"/>
      </w:rPr>
    </w:r>
    <w:fldSimple w:instr="NUMPAGES">
      <w:r>
        <w:rPr>
          <w:rFonts w:ascii="Liberation Sans" w:hAnsi="Liberation Sans"/>
          <w:sz w:val="16"/>
          <w:color w:val="50505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000000"/>
        <w:sz w:val="16"/>
      </w:rPr>
      <w:t>COMPANY CO S.A.S.    SISTEMA DE GESTIÓN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eastAsia="Liberation Sans"/>
      <w:color w:val="000000"/>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ans" w:hAnsi="Liberation Sans" w:eastAsia="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eastAsia="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ans" w:hAnsi="Liberation Sans" w:eastAsia="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Liberation Sans" w:hAnsi="Liberation Sans" w:eastAsia="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Recepción almacenamiento y control de inventario</dc:title>
  <dc:subject>Conjunto sintético de pruebas de importación documental</dc:subject>
  <dc:creator>Company Co - escenario ficticio</dc:creator>
  <cp:keywords>Company Co; SGC; simulación; ISO 9001; 2025</cp:keywords>
  <dc:description>generated by python-docx</dc:description>
  <cp:lastModifiedBy/>
  <cp:revision>1</cp:revision>
  <dcterms:created xsi:type="dcterms:W3CDTF">2026-10-23T12:00:00Z</dcterms:created>
  <dcterms:modified xsi:type="dcterms:W3CDTF">2026-10-23T12:00:00Z</dcterms:modified>
  <cp:category/>
</cp:coreProperties>
</file>