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Atención al cliente y gestión de solicitudes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CC-CP-13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2025-06-16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Caracterización de proceso | Servicio al cliente</w:t>
      </w:r>
    </w:p>
    <w:p>
      <w:pPr>
        <w:spacing w:after="60"/>
      </w:pPr>
      <w:r>
        <w:rPr>
          <w:b/>
        </w:rPr>
        <w:t xml:space="preserve">Responsable: </w:t>
      </w:r>
      <w:r>
        <w:t>Mariana León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Servicio al cliente mantiene una respuesta coordinada a consultas, reclamos y solicitudes de compradores B2B y B2C. El cliente debe conocer quién lleva su caso, qué se está revisando y cuándo recibirá una actualización.</w:t>
      </w:r>
    </w:p>
    <w:p>
      <w:r>
        <w:rPr>
          <w:sz w:val="18"/>
        </w:rPr>
        <w:t>Referencia temática ISO 9001:2015: 4.4, 8.2.1, 9.1.2, 10.2.</w:t>
      </w:r>
    </w:p>
    <w:p>
      <w:pPr>
        <w:pStyle w:val="Heading1"/>
      </w:pPr>
      <w:r>
        <w:t>Propósito y alcance</w:t>
      </w:r>
    </w:p>
    <w:p>
      <w:r>
        <w:t>Aplica a contactos posteriores o vinculados a venta, entrega, instalación, garantía, devolución, facturación y uso del producto. Inicia con la recepción de la solicitud y termina con la comunicación del resultado y el seguimiento de satisfacción. Las reclamaciones técnicas se trabajan con Calidad y posventa; el equipo de atención no determina por sí solo la causa de una falla ni aprueba compensaciones fuera de su autoridad.</w:t>
      </w:r>
    </w:p>
    <w:p>
      <w:pPr>
        <w:pStyle w:val="Heading1"/>
      </w:pPr>
      <w:r>
        <w:t>Entradas resultados e interacciones</w:t>
      </w:r>
    </w:p>
    <w:p>
      <w:r>
        <w:t>Entradas: solicitud del cliente, orden o proyecto, serial cuando aplique, descripción y evidencia del problema. Ventas aporta condiciones prometidas; Logística, Montaje y Finanzas aportan el historial pertinente.</w:t>
      </w:r>
    </w:p>
    <w:p>
      <w:r>
        <w:t>Resultados: caso clasificado, respuesta, solución acordada o decisión fundada, evidencia de cierre y datos de satisfacción. Calidad recibe patrones, reincidencias y posibles no conformidades; Dirección recibe tendencias y casos críticos.</w:t>
      </w:r>
    </w:p>
    <w:p>
      <w:pPr>
        <w:pStyle w:val="Heading1"/>
      </w:pPr>
      <w:r>
        <w:t>Responsables y autoridad</w:t>
      </w:r>
    </w:p>
    <w:p>
      <w:r>
        <w:t>Mariana León asigna responsable y controla los plazos. El agente conserva una cronología comprensible y comunica avances. El dueño del proceso involucrado responde por la investigación y la solución técnica. Ricardo Muñoz coordina no conformidades y acciones correctivas. Finanzas verifica reembolsos; Legal interviene cuando la situación requiere revisar obligaciones o condiciones contractuales.</w:t>
      </w:r>
    </w:p>
    <w:p>
      <w:pPr>
        <w:pStyle w:val="Heading1"/>
      </w:pPr>
      <w:r>
        <w:t>Actividades y controles</w:t>
      </w:r>
    </w:p>
    <w:p>
      <w:pPr>
        <w:ind w:left="216" w:hanging="216"/>
      </w:pPr>
      <w:r>
        <w:t>1. Registrar el caso con código único y datos mínimos para localizar pedido o proyecto. Conservar la descripción original del cliente, aunque luego se aclare su interpretación.</w:t>
      </w:r>
    </w:p>
    <w:p>
      <w:pPr>
        <w:ind w:left="216" w:hanging="216"/>
      </w:pPr>
      <w:r>
        <w:t>2. Clasificar consulta, reclamo, garantía, devolución o incidente. Identificar urgencia e impacto; un posible riesgo de seguridad se escala inmediatamente al responsable competente.</w:t>
      </w:r>
    </w:p>
    <w:p>
      <w:pPr>
        <w:ind w:left="216" w:hanging="216"/>
      </w:pPr>
      <w:r>
        <w:t>3. Confirmar recepción y responsable. Establecer el siguiente contacto según prioridad y registrar el plazo comprometido, sin prometer una solución técnica antes de evaluarla.</w:t>
      </w:r>
    </w:p>
    <w:p>
      <w:pPr>
        <w:ind w:left="216" w:hanging="216"/>
      </w:pPr>
      <w:r>
        <w:t>4. Reunir antecedentes de venta, pago, despacho y montaje. Evitar solicitar documentos que ya estén disponibles; mantener los archivos relacionados bajo el mismo identificador.</w:t>
      </w:r>
    </w:p>
    <w:p>
      <w:pPr>
        <w:ind w:left="216" w:hanging="216"/>
      </w:pPr>
      <w:r>
        <w:t>5. Remitir a la función técnica o administrativa que debe resolver. Si hay incumplimiento de un requisito, abrir o vincular CC-FO-02 y coordinar con Calidad mediante CC-PR-04.</w:t>
      </w:r>
    </w:p>
    <w:p>
      <w:pPr>
        <w:ind w:left="216" w:hanging="216"/>
      </w:pPr>
      <w:r>
        <w:t>6. Comunicar diagnóstico y alternativa autorizada en lenguaje claro. Documentar qué acepta el cliente, qué depende de un tercero y cuándo habrá una nueva actualización.</w:t>
      </w:r>
    </w:p>
    <w:p>
      <w:pPr>
        <w:ind w:left="216" w:hanging="216"/>
      </w:pPr>
      <w:r>
        <w:t>7. Comprobar ejecución de reparación, reposición, ajuste o reembolso. Cerrar con evidencia de resultado y comunicación; si el cliente no responde, registrar el intento y la condición de cierre.</w:t>
      </w:r>
    </w:p>
    <w:p>
      <w:pPr>
        <w:ind w:left="216" w:hanging="216"/>
      </w:pPr>
      <w:r>
        <w:t>8. Consultar satisfacción y revisar reincidencia. Reabrir el caso si la solución falla; no crear uno distinto para ocultar repetición o evitar que aparezca un plazo incumplido.</w:t>
      </w:r>
    </w:p>
    <w:p>
      <w:pPr>
        <w:pStyle w:val="Heading1"/>
      </w:pPr>
      <w:r>
        <w:t>Riesgos y respuesta operativa</w:t>
      </w:r>
    </w:p>
    <w:p>
      <w:pPr>
        <w:pStyle w:val="ListBullet"/>
      </w:pPr>
      <w:r>
        <w:t>Cierre administrativo sin solución comprobada: requerir evidencia del área ejecutora y comunicación al cliente. Las solicitudes sin respuesta final permanecen identificadas como pendientes.</w:t>
      </w:r>
    </w:p>
    <w:p>
      <w:pPr>
        <w:pStyle w:val="ListBullet"/>
      </w:pPr>
      <w:r>
        <w:t>Información contradictoria entre áreas: mantener un responsable de caso y una cronología común. Una promesa nueva se contrasta con el dueño de la solución antes de comunicarla.</w:t>
      </w:r>
    </w:p>
    <w:p>
      <w:pPr>
        <w:pStyle w:val="Heading1"/>
      </w:pPr>
      <w:r>
        <w:t>Seguimiento del proceso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Indicador y cálculo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Meta interna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Frecuencia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Responsable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Puntos obtenidos / puntos posibles de respuestas válidas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≥90 sobre 100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Mensual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Mariana León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Casos con primera respuesta en plazo / casos recibidos × 100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≥95%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Semanal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Servicio al cliente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Recursos y registros</w:t>
      </w:r>
    </w:p>
    <w:p>
      <w:r>
        <w:t>Recursos: sistema de casos, personal formado, información comercial y consulta de trazabilidad. Registros: contacto, clasificación, actuaciones, solución, comunicación y satisfacción. CC-RG-03 incluye un caso de posventa ligado a PRJ-005. CC-FO-02 y CC-RG-04 conectan hallazgos con seguimiento de acciones; se conservan según CC-PR-01.</w:t>
      </w:r>
    </w:p>
    <w:p>
      <w:pPr>
        <w:pStyle w:val="Heading1"/>
      </w:pPr>
      <w:r>
        <w:t>Entrega y revisión del proceso</w:t>
      </w:r>
    </w:p>
    <w:p>
      <w:r>
        <w:t>La referencia sintética de satisfacción de 2025 es 86/100. Mariana presenta causas de insatisfacción y acciones, distinguiendo número de respuestas y alcance de la muestra. Las quejas recurrentes pasan a Calidad aunque cada caso individual esté cerrado. La entrega a posventa mantiene el mismo contexto del cliente y un responsable claro de la siguiente actuación.</w:t>
      </w:r>
    </w:p>
    <w:p>
      <w:pPr>
        <w:pStyle w:val="Heading1"/>
      </w:pPr>
      <w:r>
        <w:t>Documentos relacionados</w:t>
      </w:r>
    </w:p>
    <w:p>
      <w:r>
        <w:t>CC-CP-02 | CC-CP-05 | CC-CP-06 | CC-CP-10 | CC-CP-12 | CC-CP-16 | CC-CP-17 | CC-RG-03 | CC-RG-04 | CC-FO-02 | CC-PR-01 | CC-PR-04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2025-06-16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Se incorpora reapertura de casos y separación entre cierre y satisfacción.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CC-CP-13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Atención al cliente y gestión de solicitudes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