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Tecnología continuidad y control de información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CC-CP-14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2025-08-04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Tecnología</w:t>
      </w:r>
    </w:p>
    <w:p>
      <w:pPr>
        <w:spacing w:after="60"/>
      </w:pPr>
      <w:r>
        <w:rPr>
          <w:b/>
        </w:rPr>
        <w:t xml:space="preserve">Responsable: </w:t>
      </w:r>
      <w:r>
        <w:t>Santiago Robledo | Líder de Tecnología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Tecnología mantiene disponibles los medios digitales que soportan ventas, inventarios, proyectos y documentación. El proceso controla accesos, cambios, incidentes y recuperación para que una falla técnica no convierta en confiable un dato incompleto o desactualizado.</w:t>
      </w:r>
    </w:p>
    <w:p>
      <w:r>
        <w:rPr>
          <w:sz w:val="18"/>
        </w:rPr>
        <w:t>Referencia temática ISO 9001:2015: 6.3, 7.1.3, 7.1.6, 7.5, 8.5.6, 9.1.</w:t>
      </w:r>
    </w:p>
    <w:p>
      <w:pPr>
        <w:pStyle w:val="Heading1"/>
      </w:pPr>
      <w:r>
        <w:t>Alcance y servicios</w:t>
      </w:r>
    </w:p>
    <w:p>
      <w:r>
        <w:t>Se administran los sistemas de operación, el sitio de comercio electrónico, puestos de trabajo, conectividad y repositorio documental. Los proveedores tecnológicos conservan sus responsabilidades contractuales; Company Co mantiene la revisión de sus resultados. La prioridad de una solicitud se determina por impacto en pedidos, entregas, trazabilidad y usuarios afectados, no solo por el orden de llegada.</w:t>
      </w:r>
    </w:p>
    <w:p>
      <w:pPr>
        <w:pStyle w:val="Heading1"/>
      </w:pPr>
      <w:r>
        <w:t>Entradas salidas e interacción</w:t>
      </w:r>
    </w:p>
    <w:p>
      <w:r>
        <w:t>Las áreas reportan fallas con fecha, pantalla o dato afectado y operación pendiente. Talento humano comunica altas y retiros; Calidad informa revisiones documentales. Tecnología entrega acceso aprobado, cambio validado, servicio recuperado o una limitación explícita. Las diferencias de transacción se investigan con Finanzas y E-commerce sin alterar registros comerciales para ocultar la falla.</w:t>
      </w:r>
    </w:p>
    <w:p>
      <w:pPr>
        <w:pStyle w:val="Heading1"/>
      </w:pPr>
      <w:r>
        <w:t>Responsables</w:t>
      </w:r>
    </w:p>
    <w:p>
      <w:r>
        <w:t>Santiago Robledo autoriza la ejecución técnica y asigna responsable. El dueño del proceso aprueba el comportamiento esperado y acepta el resultado funcional. El solicitante no aprueba sus propios privilegios. Calidad conserva la autoridad sobre vigencia de documentos; Tecnología administra el soporte y los permisos, sin reemplazar por una copia local el original controlado.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Registrar la solicitud y clasificar impacto, urgencia y servicio. Para un incidente, preservar la secuencia de hechos y cualquier referencia de pedido relacionada.</w:t>
      </w:r>
    </w:p>
    <w:p>
      <w:pPr>
        <w:ind w:left="216" w:hanging="216"/>
      </w:pPr>
      <w:r>
        <w:t>2. Verificar autorización de acceso por persona y función. Aplicar el mínimo necesario y revisar las cuentas sin uso; un traslado exige revisar también los permisos anteriores.</w:t>
      </w:r>
    </w:p>
    <w:p>
      <w:pPr>
        <w:ind w:left="216" w:hanging="216"/>
      </w:pPr>
      <w:r>
        <w:t>3. Analizar cada cambio con alcance, dependencia, riesgo, ventana y retorno. Utilizar CC-FO-01 cuando afecte un proceso o un control de calidad.</w:t>
      </w:r>
    </w:p>
    <w:p>
      <w:pPr>
        <w:ind w:left="216" w:hanging="216"/>
      </w:pPr>
      <w:r>
        <w:t>4. Preparar y revisar la modificación con evidencia técnica apropiada. Solicitar al dueño del proceso la aceptación de los casos acordados antes del cierre.</w:t>
      </w:r>
    </w:p>
    <w:p>
      <w:pPr>
        <w:ind w:left="216" w:hanging="216"/>
      </w:pPr>
      <w:r>
        <w:t>5. Ejecutar el cambio en la ventana autorizada. Registrar versión, responsable, resultado y decisión de continuar o volver a la versión anterior.</w:t>
      </w:r>
    </w:p>
    <w:p>
      <w:pPr>
        <w:ind w:left="216" w:hanging="216"/>
      </w:pPr>
      <w:r>
        <w:t>6. Supervisar copias de respaldo y comprobar periódicamente que una muestra pueda recuperarse. Un mensaje de copia terminada no demuestra por sí solo recuperación utilizable.</w:t>
      </w:r>
    </w:p>
    <w:p>
      <w:pPr>
        <w:ind w:left="216" w:hanging="216"/>
      </w:pPr>
      <w:r>
        <w:t>7. Cerrar incidentes con causa, solución y confirmación del área. Si reaparecen, vincularlos y remitir a CC-PR-04 para análisis de recurrencia.</w:t>
      </w:r>
    </w:p>
    <w:p>
      <w:pPr>
        <w:pStyle w:val="Heading1"/>
      </w:pPr>
      <w:r>
        <w:t>Riesgos y respuesta</w:t>
      </w:r>
    </w:p>
    <w:p>
      <w:pPr>
        <w:pStyle w:val="ListBullet"/>
      </w:pPr>
      <w:r>
        <w:t>Accesos que permanecen después de un retiro: reconciliar el registro de personas con las cuentas habilitadas y escalar cualquier diferencia al líder correspondiente.</w:t>
      </w:r>
    </w:p>
    <w:p>
      <w:pPr>
        <w:pStyle w:val="ListBullet"/>
      </w:pPr>
      <w:r>
        <w:t>Cambio que interrumpe el despacho: definir retorno y coordinación con Inventarios y Logística antes de intervenir.</w:t>
      </w:r>
    </w:p>
    <w:p>
      <w:pPr>
        <w:pStyle w:val="ListBullet"/>
      </w:pPr>
      <w:r>
        <w:t>Pérdida de un documento o respaldo inútil: conservar versiones controladas y evidencia de recuperación; evitar copias personales como fuente oficial.</w:t>
      </w:r>
    </w:p>
    <w:p>
      <w:pPr>
        <w:pStyle w:val="Heading1"/>
      </w:pPr>
      <w:r>
        <w:t>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Indicador y fórmula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Meta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Frecuencia y responsable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Cambios sin incidente atribuible = cambios sin falla posterior identificada / cambios ejecutados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95 % o más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Mensual | Santiago Robledo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Recuperaciones satisfactorias = ejercicios con datos recuperables / ejercicios programados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100 %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Trimestral | Santiago Robledo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El proceso usa inventario de activos, registro de incidencias, control de versiones y recursos de respaldo. Se conserva autorización, descripción del cambio y aceptación del área. CC-PR-01 y CC-LM-01 gobiernan la información documentada. Los registros completos de cuentas y respaldos no están incluidos en este expediente; no se reporta una prueba técnica como ejecutada solo por existir este procedimiento.</w:t>
      </w:r>
    </w:p>
    <w:p>
      <w:pPr>
        <w:pStyle w:val="Heading1"/>
      </w:pPr>
      <w:r>
        <w:t>Entrega del servicio</w:t>
      </w:r>
    </w:p>
    <w:p>
      <w:r>
        <w:t>El cierre requiere confirmar que la operación afectada puede continuar y que el área conoce cualquier restricción residual. Las guías nuevas se incorporan al repositorio y se comunican a Talento humano cuando necesitan capacitación. Las decisiones sobre conservar registros se coordinan con Legal, especialmente si existe una reclamación abierta.</w:t>
      </w:r>
    </w:p>
    <w:p>
      <w:pPr>
        <w:pStyle w:val="Heading1"/>
      </w:pPr>
      <w:r>
        <w:t>Documentos relacionados</w:t>
      </w:r>
    </w:p>
    <w:p>
      <w:r>
        <w:t>CC-CP-02 | CC-CP-03 | CC-CP-08 | CC-CP-11 | CC-CP-17 | CC-PR-01 | CC-PR-04 | CC-FO-01 | CC-LM-01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2025-08-04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incorpora aceptación del dueño del proceso y evidencia diferenciada de respaldo y recuperación.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CC-CP-14 r03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Tecnología continuidad y control de información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