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Aseguramiento de calidad y servicio de posventa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CC-CP-16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2025-11-03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Calidad y posventa</w:t>
      </w:r>
    </w:p>
    <w:p>
      <w:pPr>
        <w:spacing w:after="60"/>
      </w:pPr>
      <w:r>
        <w:rPr>
          <w:b/>
        </w:rPr>
        <w:t xml:space="preserve">Responsable: </w:t>
      </w:r>
      <w:r>
        <w:t>Ricardo Muñoz | Líder de Calidad y posventa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Calidad verifica los criterios de aceptación, coordina la mejora del sistema y atiende técnicamente garantías y fallas recurrentes. Su alcance conecta recepción, instalación y posventa, manteniendo evidencia de qué se aceptó, qué falló y cómo se evitó la repetición.</w:t>
      </w:r>
    </w:p>
    <w:p>
      <w:r>
        <w:rPr>
          <w:sz w:val="18"/>
        </w:rPr>
        <w:t>Referencia temática ISO 9001:2015: 7.1.5, 8.4, 8.6, 8.7, 9.1, 9.2, 10.2, 10.3.</w:t>
      </w:r>
    </w:p>
    <w:p>
      <w:pPr>
        <w:pStyle w:val="Heading1"/>
      </w:pPr>
      <w:r>
        <w:t>Alcance y límites</w:t>
      </w:r>
    </w:p>
    <w:p>
      <w:r>
        <w:t>Servicio al cliente recibe y comunica los reclamos; Calidad determina su tratamiento técnico y la necesidad de acción correctiva. Compras selecciona y evalúa proveedores con los datos de defectos recibidos. Montaje ejecuta la instalación y aporta sus comprobaciones; la revisión de Calidad no reemplaza su responsabilidad de cumplir las especificaciones del proyecto.</w:t>
      </w:r>
    </w:p>
    <w:p>
      <w:pPr>
        <w:pStyle w:val="Heading1"/>
      </w:pPr>
      <w:r>
        <w:t>Entradas resultados e interfaces</w:t>
      </w:r>
    </w:p>
    <w:p>
      <w:r>
        <w:t>Se reciben fichas de equipos, requisitos aceptados, controles de recepción, reportes de instalación, garantías y resultados de auditoría. Se emiten liberaciones, restricciones, análisis de causas y recomendaciones de mejora. En una garantía se conserva relación entre cliente, serie, entrega y revisión técnica; la ausencia de un dato se registra antes de decidir, sin completar la historia por suposición.</w:t>
      </w:r>
    </w:p>
    <w:p>
      <w:pPr>
        <w:pStyle w:val="Heading1"/>
      </w:pPr>
      <w:r>
        <w:t>Responsabilidad y autoridad</w:t>
      </w:r>
    </w:p>
    <w:p>
      <w:r>
        <w:t>Ricardo Muñoz puede detener la liberación cuando falte evidencia o exista una desviación. Los líderes corrigen sus procesos y presentan resultados; Calidad verifica la eficacia. Los auditores se asignan de modo que no evalúen su propio trabajo. Una concesión requiere autoridad definida y aceptación del cliente cuando altere lo convenido, sin invalidar restricciones técnicas aplicables.</w:t>
      </w:r>
    </w:p>
    <w:p>
      <w:pPr>
        <w:pStyle w:val="Heading1"/>
      </w:pPr>
      <w:r>
        <w:t>Actividades y criterios</w:t>
      </w:r>
    </w:p>
    <w:p>
      <w:pPr>
        <w:ind w:left="216" w:hanging="216"/>
      </w:pPr>
      <w:r>
        <w:t>1. Acordar con Diseño y Montaje los puntos de aceptación, valores o tolerancias del fabricante y evidencia requerida antes de ejecutar el proyecto.</w:t>
      </w:r>
    </w:p>
    <w:p>
      <w:pPr>
        <w:ind w:left="216" w:hanging="216"/>
      </w:pPr>
      <w:r>
        <w:t>2. Verificar los instrumentos utilizados para aceptar resultados. Identificar equipo, rango, estado y necesidad de calibración o verificación según su uso; retirar el equipo vencido o dañado.</w:t>
      </w:r>
    </w:p>
    <w:p>
      <w:pPr>
        <w:ind w:left="216" w:hanging="216"/>
      </w:pPr>
      <w:r>
        <w:t>3. Contratar, cuando corresponda, un laboratorio competente y revisar el certificado recibido, identificación del instrumento, resultados e incertidumbre relevante para la decisión.</w:t>
      </w:r>
    </w:p>
    <w:p>
      <w:pPr>
        <w:ind w:left="216" w:hanging="216"/>
      </w:pPr>
      <w:r>
        <w:t>4. Inspeccionar las evidencias de recepción o instalación. Si un criterio no se cumple, identificar y separar la salida afectada, registrar CC-FO-02 y definir disposición.</w:t>
      </w:r>
    </w:p>
    <w:p>
      <w:pPr>
        <w:ind w:left="216" w:hanging="216"/>
      </w:pPr>
      <w:r>
        <w:t>5. Tramitar garantías con diagnóstico, decisión, autorización y comprobación del servicio. Mantener a Servicio al cliente informado para dar una sola respuesta al usuario.</w:t>
      </w:r>
    </w:p>
    <w:p>
      <w:pPr>
        <w:ind w:left="216" w:hanging="216"/>
      </w:pPr>
      <w:r>
        <w:t>6. Analizar no conformidades recurrentes según CC-PR-04. Diferenciar corrección inmediata de acción sobre la causa y comprobar después si la falla reaparece.</w:t>
      </w:r>
    </w:p>
    <w:p>
      <w:pPr>
        <w:ind w:left="216" w:hanging="216"/>
      </w:pPr>
      <w:r>
        <w:t>7. Programar auditoría interna conforme a CC-PR-03 y llevar resultados, tendencias y necesidades a la revisión de Dirección.</w:t>
      </w:r>
    </w:p>
    <w:p>
      <w:pPr>
        <w:pStyle w:val="Heading1"/>
      </w:pPr>
      <w:r>
        <w:t>Riesgos y controles</w:t>
      </w:r>
    </w:p>
    <w:p>
      <w:pPr>
        <w:pStyle w:val="ListBullet"/>
      </w:pPr>
      <w:r>
        <w:t>Aceptar con un instrumento no apto: revisar su estado antes del uso y evaluar resultados anteriores cuando se descubra una desviación de medición.</w:t>
      </w:r>
    </w:p>
    <w:p>
      <w:pPr>
        <w:pStyle w:val="ListBullet"/>
      </w:pPr>
      <w:r>
        <w:t>Cerrar una garantía sin comprobar reparación: exigir resultado técnico y confirmación de la entrega; un repuesto despachado no equivale a solución aceptada.</w:t>
      </w:r>
    </w:p>
    <w:p>
      <w:pPr>
        <w:pStyle w:val="ListBullet"/>
      </w:pPr>
      <w:r>
        <w:t>Acciones correctivas sin eficacia: definir desde el inicio una fecha y evidencia para revisar la no recurrencia.</w:t>
      </w:r>
    </w:p>
    <w:p>
      <w:pPr>
        <w:pStyle w:val="Heading1"/>
      </w:pPr>
      <w:r>
        <w:t>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 y fórmula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Meta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Frecuencia y responsable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Devoluciones = órdenes B2C con devolución / órdenes B2C registradas en el período × 100; contar cada orden una vez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3 % o menos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 | Ricardo Muñoz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Acciones eficaces = acciones sin recurrencia en ventana acordada / acciones verificadas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90 % o más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Trimestral | Ricardo Muñoz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emplean instrumentos identificados, manuales del fabricante, repuestos y personal habilitado. CC-RG-03 conserva la liberación y posventa del proyecto de muestra; CC-RG-04 reúne ejemplos de auditoría y seguimiento; CC-RG-05 incluye registros de equipos. Los informes de laboratorio presentes en la simulación son ejemplos internos ficticios, no certificados emitidos por una entidad real.</w:t>
      </w:r>
    </w:p>
    <w:p>
      <w:pPr>
        <w:pStyle w:val="Heading1"/>
      </w:pPr>
      <w:r>
        <w:t>Condición de cierre</w:t>
      </w:r>
    </w:p>
    <w:p>
      <w:r>
        <w:t>Una no conformidad termina cuando su disposición está aprobada y la evidencia de eficacia corresponde a la causa investigada. Los casos pendientes permanecen visibles en el tablero. Para 2025, la referencia anual de devoluciones es 3,2 % y la de satisfacción 86 sobre 100; esos resultados no se convierten en metas cumplidas por redondeo.</w:t>
      </w:r>
    </w:p>
    <w:p>
      <w:pPr>
        <w:pStyle w:val="Heading1"/>
      </w:pPr>
      <w:r>
        <w:t>Documentos relacionados</w:t>
      </w:r>
    </w:p>
    <w:p>
      <w:r>
        <w:t>CC-CP-01 | CC-CP-09 | CC-CP-12 | CC-CP-13 | CC-CP-15 | CC-PR-03 | CC-PR-04 | CC-FO-02 | CC-RG-03 | CC-RG-04 | CC-RG-05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2025-11-03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precisa la evaluación del instrumento y la separación entre corrección y verificación de eficacia.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CC-CP-16 r04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Aseguramiento de calidad y servicio de posventa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