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Montaje liberación y posventa PRJ 005</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440"/>
        <w:gridCol w:w="2847"/>
        <w:gridCol w:w="2440"/>
        <w:gridCol w:w="2440"/>
      </w:tblGrid>
      <w:tr>
        <w:trPr>
          <w:tblHeader w:val="true"/>
          <w:cantSplit/>
        </w:trPr>
        <w:tc>
          <w:tcPr>
            <w:tcW w:type="dxa" w:w="2440"/>
            <w:vAlign w:val="center"/>
            <w:tcMar>
              <w:top w:w="75" w:type="dxa"/>
              <w:bottom w:w="75" w:type="dxa"/>
              <w:left w:w="90" w:type="dxa"/>
              <w:right w:w="90" w:type="dxa"/>
            </w:tcMar>
            <w:shd w:fill="E8E8E8"/>
          </w:tcPr>
          <w:p>
            <w:pPr>
              <w:keepNext/>
              <w:widowControl/>
              <w:spacing w:before="0" w:after="20" w:line="240" w:lineRule="auto"/>
              <w:jc w:val="center"/>
            </w:pPr>
            <w:r>
              <w:rPr>
                <w:b/>
                <w:color w:val="000000"/>
                <w:sz w:val="18"/>
              </w:rPr>
              <w:t>Código</w:t>
            </w:r>
          </w:p>
        </w:tc>
        <w:tc>
          <w:tcPr>
            <w:tcW w:type="dxa" w:w="2847"/>
            <w:vAlign w:val="center"/>
            <w:tcMar>
              <w:top w:w="75" w:type="dxa"/>
              <w:bottom w:w="75" w:type="dxa"/>
              <w:left w:w="90" w:type="dxa"/>
              <w:right w:w="90" w:type="dxa"/>
            </w:tcMar>
            <w:shd w:fill="E8E8E8"/>
          </w:tcPr>
          <w:p>
            <w:pPr>
              <w:keepNext/>
              <w:widowControl/>
              <w:spacing w:before="0" w:after="20" w:line="240" w:lineRule="auto"/>
              <w:jc w:val="center"/>
            </w:pPr>
            <w:r>
              <w:rPr>
                <w:b/>
                <w:color w:val="000000"/>
                <w:sz w:val="18"/>
              </w:rPr>
              <w:t>Revisión</w:t>
            </w:r>
          </w:p>
        </w:tc>
        <w:tc>
          <w:tcPr>
            <w:tcW w:type="dxa" w:w="2440"/>
            <w:vAlign w:val="center"/>
            <w:tcMar>
              <w:top w:w="75" w:type="dxa"/>
              <w:bottom w:w="75" w:type="dxa"/>
              <w:left w:w="90" w:type="dxa"/>
              <w:right w:w="90" w:type="dxa"/>
            </w:tcMar>
            <w:shd w:fill="E8E8E8"/>
          </w:tcPr>
          <w:p>
            <w:pPr>
              <w:keepNext/>
              <w:widowControl/>
              <w:spacing w:before="0" w:after="20" w:line="240" w:lineRule="auto"/>
              <w:jc w:val="center"/>
            </w:pPr>
            <w:r>
              <w:rPr>
                <w:b/>
                <w:color w:val="000000"/>
                <w:sz w:val="18"/>
              </w:rPr>
              <w:t>Emisión</w:t>
            </w:r>
          </w:p>
        </w:tc>
        <w:tc>
          <w:tcPr>
            <w:tcW w:type="dxa" w:w="2440"/>
            <w:vAlign w:val="center"/>
            <w:tcMar>
              <w:top w:w="75" w:type="dxa"/>
              <w:bottom w:w="75" w:type="dxa"/>
              <w:left w:w="90" w:type="dxa"/>
              <w:right w:w="90" w:type="dxa"/>
            </w:tcMar>
            <w:shd w:fill="E8E8E8"/>
          </w:tcPr>
          <w:p>
            <w:pPr>
              <w:keepNext/>
              <w:widowControl/>
              <w:spacing w:before="0" w:after="20" w:line="240" w:lineRule="auto"/>
              <w:jc w:val="center"/>
            </w:pPr>
            <w:r>
              <w:rPr>
                <w:b/>
                <w:color w:val="000000"/>
                <w:sz w:val="18"/>
              </w:rPr>
              <w:t>Estado</w:t>
            </w:r>
          </w:p>
        </w:tc>
      </w:tr>
      <w:tr>
        <w:trPr>
          <w:cantSplit/>
        </w:trPr>
        <w:tc>
          <w:tcPr>
            <w:tcW w:type="dxa" w:w="2440"/>
            <w:vAlign w:val="center"/>
            <w:tcMar>
              <w:top w:w="75" w:type="dxa"/>
              <w:bottom w:w="75" w:type="dxa"/>
              <w:left w:w="90" w:type="dxa"/>
              <w:right w:w="90" w:type="dxa"/>
            </w:tcMar>
          </w:tcPr>
          <w:p>
            <w:pPr>
              <w:keepNext w:val="0"/>
              <w:widowControl/>
              <w:spacing w:before="0" w:after="20" w:line="240" w:lineRule="auto"/>
            </w:pPr>
            <w:r>
              <w:rPr>
                <w:b w:val="0"/>
                <w:color w:val="000000"/>
                <w:sz w:val="18"/>
              </w:rPr>
              <w:t>CC-RG-03</w:t>
            </w:r>
          </w:p>
        </w:tc>
        <w:tc>
          <w:tcPr>
            <w:tcW w:type="dxa" w:w="2847"/>
            <w:vAlign w:val="center"/>
            <w:tcMar>
              <w:top w:w="75" w:type="dxa"/>
              <w:bottom w:w="75" w:type="dxa"/>
              <w:left w:w="90" w:type="dxa"/>
              <w:right w:w="90" w:type="dxa"/>
            </w:tcMar>
          </w:tcPr>
          <w:p>
            <w:pPr>
              <w:keepNext w:val="0"/>
              <w:widowControl/>
              <w:spacing w:before="0" w:after="20" w:line="240" w:lineRule="auto"/>
              <w:jc w:val="center"/>
            </w:pPr>
            <w:r>
              <w:rPr>
                <w:b w:val="0"/>
                <w:color w:val="000000"/>
                <w:sz w:val="18"/>
              </w:rPr>
              <w:t>02</w:t>
            </w:r>
          </w:p>
        </w:tc>
        <w:tc>
          <w:tcPr>
            <w:tcW w:type="dxa" w:w="2440"/>
            <w:vAlign w:val="center"/>
            <w:tcMar>
              <w:top w:w="75" w:type="dxa"/>
              <w:bottom w:w="75" w:type="dxa"/>
              <w:left w:w="90" w:type="dxa"/>
              <w:right w:w="90" w:type="dxa"/>
            </w:tcMar>
          </w:tcPr>
          <w:p>
            <w:pPr>
              <w:keepNext w:val="0"/>
              <w:widowControl/>
              <w:spacing w:before="0" w:after="20" w:line="240" w:lineRule="auto"/>
              <w:jc w:val="center"/>
            </w:pPr>
            <w:r>
              <w:rPr>
                <w:b w:val="0"/>
                <w:color w:val="000000"/>
                <w:sz w:val="18"/>
              </w:rPr>
              <w:t>2025-10-03</w:t>
            </w:r>
          </w:p>
        </w:tc>
        <w:tc>
          <w:tcPr>
            <w:tcW w:type="dxa" w:w="2440"/>
            <w:vAlign w:val="center"/>
            <w:tcMar>
              <w:top w:w="75" w:type="dxa"/>
              <w:bottom w:w="75" w:type="dxa"/>
              <w:left w:w="90" w:type="dxa"/>
              <w:right w:w="90" w:type="dxa"/>
            </w:tcMar>
          </w:tcPr>
          <w:p>
            <w:pPr>
              <w:keepNext w:val="0"/>
              <w:widowControl/>
              <w:spacing w:before="0" w:after="20" w:line="240" w:lineRule="auto"/>
            </w:pPr>
            <w:r>
              <w:rPr>
                <w:b w:val="0"/>
                <w:color w:val="000000"/>
                <w:sz w:val="18"/>
              </w:rPr>
              <w:t>Cerrado</w:t>
            </w:r>
          </w:p>
        </w:tc>
      </w:tr>
    </w:tbl>
    <w:p>
      <w:pPr>
        <w:spacing w:after="20" w:before="0" w:line="240" w:lineRule="auto"/>
      </w:pPr>
      <w:r>
        <w:rPr>
          <w:sz w:val="4"/>
        </w:rPr>
      </w:r>
    </w:p>
    <w:p>
      <w:pPr>
        <w:spacing w:after="60"/>
      </w:pPr>
      <w:r>
        <w:rPr>
          <w:b/>
        </w:rPr>
        <w:t xml:space="preserve">Tipo y área: </w:t>
      </w:r>
      <w:r>
        <w:t>Registro diligenciado | Montaje Servicio al cliente y Calidad</w:t>
      </w:r>
    </w:p>
    <w:p>
      <w:pPr>
        <w:spacing w:after="60"/>
      </w:pPr>
      <w:r>
        <w:rPr>
          <w:b/>
        </w:rPr>
        <w:t xml:space="preserve">Responsable: </w:t>
      </w:r>
      <w:r>
        <w:t>Óscar Benítez Mariana León y Ricardo Muñoz</w:t>
      </w:r>
    </w:p>
    <w:p>
      <w:pPr>
        <w:spacing w:after="60"/>
      </w:pPr>
      <w:r>
        <w:rPr>
          <w:b/>
        </w:rPr>
        <w:t xml:space="preserve">Aprobación interna: </w:t>
      </w:r>
      <w:r>
        <w:t>Ricardo Muñoz</w:t>
      </w:r>
    </w:p>
    <w:p>
      <w:pPr>
        <w:spacing w:before="100"/>
      </w:pPr>
      <w:r>
        <w:t>Se registran la instalación de La Estación, la comprobación funcional, la entrega del 18 de septiembre y el ticket posterior TCK-2025-0419. La liberación corresponde al conjunto instalado en PRJ-005 y no equivale a una aprobación de otros locales del cliente.</w:t>
      </w:r>
    </w:p>
    <w:p>
      <w:r>
        <w:rPr>
          <w:sz w:val="18"/>
        </w:rPr>
        <w:t>Referencia temática ISO 9001:2015: 8.5.1, 8.6, 8.7, 9.1.2, 10.2.</w:t>
      </w:r>
    </w:p>
    <w:p>
      <w:pPr>
        <w:pStyle w:val="Heading1"/>
      </w:pPr>
      <w:r>
        <w:t>Identificación y condiciones previas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050"/>
        <w:gridCol w:w="7116"/>
      </w:tblGrid>
      <w:tr>
        <w:trPr>
          <w:tblHeader w:val="true"/>
          <w:cantSplit/>
        </w:trPr>
        <w:tc>
          <w:tcPr>
            <w:tcW w:type="dxa" w:w="3050"/>
            <w:vAlign w:val="center"/>
            <w:tcMar>
              <w:top w:w="75" w:type="dxa"/>
              <w:bottom w:w="75" w:type="dxa"/>
              <w:left w:w="90" w:type="dxa"/>
              <w:right w:w="90" w:type="dxa"/>
            </w:tcMar>
            <w:shd w:fill="E8E8E8"/>
          </w:tcPr>
          <w:p>
            <w:pPr>
              <w:keepNext/>
              <w:widowControl/>
              <w:spacing w:before="0" w:after="20" w:line="240" w:lineRule="auto"/>
              <w:jc w:val="center"/>
            </w:pPr>
            <w:r>
              <w:rPr>
                <w:b/>
                <w:color w:val="000000"/>
                <w:sz w:val="19"/>
              </w:rPr>
              <w:t>Dato</w:t>
            </w:r>
          </w:p>
        </w:tc>
        <w:tc>
          <w:tcPr>
            <w:tcW w:type="dxa" w:w="7116"/>
            <w:vAlign w:val="center"/>
            <w:tcMar>
              <w:top w:w="75" w:type="dxa"/>
              <w:bottom w:w="75" w:type="dxa"/>
              <w:left w:w="90" w:type="dxa"/>
              <w:right w:w="90" w:type="dxa"/>
            </w:tcMar>
            <w:shd w:fill="E8E8E8"/>
          </w:tcPr>
          <w:p>
            <w:pPr>
              <w:keepNext/>
              <w:widowControl/>
              <w:spacing w:before="0" w:after="20" w:line="240" w:lineRule="auto"/>
              <w:jc w:val="center"/>
            </w:pPr>
            <w:r>
              <w:rPr>
                <w:b/>
                <w:color w:val="000000"/>
                <w:sz w:val="19"/>
              </w:rPr>
              <w:t>Constancia</w:t>
            </w:r>
          </w:p>
        </w:tc>
      </w:tr>
      <w:tr>
        <w:trPr>
          <w:cantSplit/>
        </w:trPr>
        <w:tc>
          <w:tcPr>
            <w:tcW w:type="dxa" w:w="3050"/>
            <w:vAlign w:val="center"/>
            <w:tcMar>
              <w:top w:w="75" w:type="dxa"/>
              <w:bottom w:w="75" w:type="dxa"/>
              <w:left w:w="90" w:type="dxa"/>
              <w:right w:w="90" w:type="dxa"/>
            </w:tcMar>
          </w:tcPr>
          <w:p>
            <w:pPr>
              <w:keepNext w:val="0"/>
              <w:widowControl/>
              <w:spacing w:before="0" w:after="20" w:line="240" w:lineRule="auto"/>
            </w:pPr>
            <w:r>
              <w:rPr>
                <w:b w:val="0"/>
                <w:color w:val="000000"/>
                <w:sz w:val="19"/>
              </w:rPr>
              <w:t>Proyecto y cliente</w:t>
            </w:r>
          </w:p>
        </w:tc>
        <w:tc>
          <w:tcPr>
            <w:tcW w:type="dxa" w:w="7116"/>
            <w:vAlign w:val="center"/>
            <w:tcMar>
              <w:top w:w="75" w:type="dxa"/>
              <w:bottom w:w="75" w:type="dxa"/>
              <w:left w:w="90" w:type="dxa"/>
              <w:right w:w="90" w:type="dxa"/>
            </w:tcMar>
          </w:tcPr>
          <w:p>
            <w:pPr>
              <w:keepNext w:val="0"/>
              <w:widowControl/>
              <w:spacing w:before="0" w:after="20" w:line="240" w:lineRule="auto"/>
            </w:pPr>
            <w:r>
              <w:rPr>
                <w:b w:val="0"/>
                <w:color w:val="000000"/>
                <w:sz w:val="19"/>
              </w:rPr>
              <w:t>PRJ-005 La Estación; CUS-003 Cadena Café Demo 3; Cali.</w:t>
            </w:r>
          </w:p>
        </w:tc>
      </w:tr>
      <w:tr>
        <w:trPr>
          <w:cantSplit/>
        </w:trPr>
        <w:tc>
          <w:tcPr>
            <w:tcW w:type="dxa" w:w="3050"/>
            <w:vAlign w:val="center"/>
            <w:tcMar>
              <w:top w:w="75" w:type="dxa"/>
              <w:bottom w:w="75" w:type="dxa"/>
              <w:left w:w="90" w:type="dxa"/>
              <w:right w:w="90" w:type="dxa"/>
            </w:tcMar>
          </w:tcPr>
          <w:p>
            <w:pPr>
              <w:keepNext w:val="0"/>
              <w:widowControl/>
              <w:spacing w:before="0" w:after="20" w:line="240" w:lineRule="auto"/>
            </w:pPr>
            <w:r>
              <w:rPr>
                <w:b w:val="0"/>
                <w:color w:val="000000"/>
                <w:sz w:val="19"/>
              </w:rPr>
              <w:t>Base de trabajo</w:t>
            </w:r>
          </w:p>
        </w:tc>
        <w:tc>
          <w:tcPr>
            <w:tcW w:type="dxa" w:w="7116"/>
            <w:vAlign w:val="center"/>
            <w:tcMar>
              <w:top w:w="75" w:type="dxa"/>
              <w:bottom w:w="75" w:type="dxa"/>
              <w:left w:w="90" w:type="dxa"/>
              <w:right w:w="90" w:type="dxa"/>
            </w:tcMar>
          </w:tcPr>
          <w:p>
            <w:pPr>
              <w:keepNext w:val="0"/>
              <w:widowControl/>
              <w:spacing w:before="0" w:after="20" w:line="240" w:lineRule="auto"/>
            </w:pPr>
            <w:r>
              <w:rPr>
                <w:b w:val="0"/>
                <w:color w:val="000000"/>
                <w:sz w:val="19"/>
              </w:rPr>
              <w:t>Diseño D-PRJ005-03; cambio CL-2025-009 incorporado.</w:t>
            </w:r>
          </w:p>
        </w:tc>
      </w:tr>
      <w:tr>
        <w:trPr>
          <w:cantSplit/>
        </w:trPr>
        <w:tc>
          <w:tcPr>
            <w:tcW w:type="dxa" w:w="3050"/>
            <w:vAlign w:val="center"/>
            <w:tcMar>
              <w:top w:w="75" w:type="dxa"/>
              <w:bottom w:w="75" w:type="dxa"/>
              <w:left w:w="90" w:type="dxa"/>
              <w:right w:w="90" w:type="dxa"/>
            </w:tcMar>
          </w:tcPr>
          <w:p>
            <w:pPr>
              <w:keepNext w:val="0"/>
              <w:widowControl/>
              <w:spacing w:before="0" w:after="20" w:line="240" w:lineRule="auto"/>
            </w:pPr>
            <w:r>
              <w:rPr>
                <w:b w:val="0"/>
                <w:color w:val="000000"/>
                <w:sz w:val="19"/>
              </w:rPr>
              <w:t>Equipo principal</w:t>
            </w:r>
          </w:p>
        </w:tc>
        <w:tc>
          <w:tcPr>
            <w:tcW w:type="dxa" w:w="7116"/>
            <w:vAlign w:val="center"/>
            <w:tcMar>
              <w:top w:w="75" w:type="dxa"/>
              <w:bottom w:w="75" w:type="dxa"/>
              <w:left w:w="90" w:type="dxa"/>
              <w:right w:w="90" w:type="dxa"/>
            </w:tcMar>
          </w:tcPr>
          <w:p>
            <w:pPr>
              <w:keepNext w:val="0"/>
              <w:widowControl/>
              <w:spacing w:before="0" w:after="20" w:line="240" w:lineRule="auto"/>
            </w:pPr>
            <w:r>
              <w:rPr>
                <w:b w:val="0"/>
                <w:color w:val="000000"/>
                <w:sz w:val="19"/>
              </w:rPr>
              <w:t>Máquina ESP-CC-25117 y molino MOL-CC-25118, recibidos según CC-RG-02.</w:t>
            </w:r>
          </w:p>
        </w:tc>
      </w:tr>
      <w:tr>
        <w:trPr>
          <w:cantSplit/>
        </w:trPr>
        <w:tc>
          <w:tcPr>
            <w:tcW w:type="dxa" w:w="3050"/>
            <w:vAlign w:val="center"/>
            <w:tcMar>
              <w:top w:w="75" w:type="dxa"/>
              <w:bottom w:w="75" w:type="dxa"/>
              <w:left w:w="90" w:type="dxa"/>
              <w:right w:w="90" w:type="dxa"/>
            </w:tcMar>
          </w:tcPr>
          <w:p>
            <w:pPr>
              <w:keepNext w:val="0"/>
              <w:widowControl/>
              <w:spacing w:before="0" w:after="20" w:line="240" w:lineRule="auto"/>
            </w:pPr>
            <w:r>
              <w:rPr>
                <w:b w:val="0"/>
                <w:color w:val="000000"/>
                <w:sz w:val="19"/>
              </w:rPr>
              <w:t>Trabajo programado</w:t>
            </w:r>
          </w:p>
        </w:tc>
        <w:tc>
          <w:tcPr>
            <w:tcW w:type="dxa" w:w="7116"/>
            <w:vAlign w:val="center"/>
            <w:tcMar>
              <w:top w:w="75" w:type="dxa"/>
              <w:bottom w:w="75" w:type="dxa"/>
              <w:left w:w="90" w:type="dxa"/>
              <w:right w:w="90" w:type="dxa"/>
            </w:tcMar>
          </w:tcPr>
          <w:p>
            <w:pPr>
              <w:keepNext w:val="0"/>
              <w:widowControl/>
              <w:spacing w:before="0" w:after="20" w:line="240" w:lineRule="auto"/>
            </w:pPr>
            <w:r>
              <w:rPr>
                <w:b w:val="0"/>
                <w:color w:val="000000"/>
                <w:sz w:val="19"/>
              </w:rPr>
              <w:t>2025-09-15 a 2025-09-17; responsable Óscar Benítez.</w:t>
            </w:r>
          </w:p>
        </w:tc>
      </w:tr>
      <w:tr>
        <w:trPr>
          <w:cantSplit/>
        </w:trPr>
        <w:tc>
          <w:tcPr>
            <w:tcW w:type="dxa" w:w="3050"/>
            <w:vAlign w:val="center"/>
            <w:tcMar>
              <w:top w:w="75" w:type="dxa"/>
              <w:bottom w:w="75" w:type="dxa"/>
              <w:left w:w="90" w:type="dxa"/>
              <w:right w:w="90" w:type="dxa"/>
            </w:tcMar>
          </w:tcPr>
          <w:p>
            <w:pPr>
              <w:keepNext w:val="0"/>
              <w:widowControl/>
              <w:spacing w:before="0" w:after="20" w:line="240" w:lineRule="auto"/>
            </w:pPr>
            <w:r>
              <w:rPr>
                <w:b w:val="0"/>
                <w:color w:val="000000"/>
                <w:sz w:val="19"/>
              </w:rPr>
              <w:t>Responsable del local</w:t>
            </w:r>
          </w:p>
        </w:tc>
        <w:tc>
          <w:tcPr>
            <w:tcW w:type="dxa" w:w="7116"/>
            <w:vAlign w:val="center"/>
            <w:tcMar>
              <w:top w:w="75" w:type="dxa"/>
              <w:bottom w:w="75" w:type="dxa"/>
              <w:left w:w="90" w:type="dxa"/>
              <w:right w:w="90" w:type="dxa"/>
            </w:tcMar>
          </w:tcPr>
          <w:p>
            <w:pPr>
              <w:keepNext w:val="0"/>
              <w:widowControl/>
              <w:spacing w:before="0" w:after="20" w:line="240" w:lineRule="auto"/>
            </w:pPr>
            <w:r>
              <w:rPr>
                <w:b w:val="0"/>
                <w:color w:val="000000"/>
                <w:sz w:val="19"/>
              </w:rPr>
              <w:t>María Fernanda Cuéllar, administradora designada por el cliente.</w:t>
            </w:r>
          </w:p>
        </w:tc>
      </w:tr>
      <w:tr>
        <w:trPr>
          <w:cantSplit/>
        </w:trPr>
        <w:tc>
          <w:tcPr>
            <w:tcW w:type="dxa" w:w="3050"/>
            <w:vAlign w:val="center"/>
            <w:tcMar>
              <w:top w:w="75" w:type="dxa"/>
              <w:bottom w:w="75" w:type="dxa"/>
              <w:left w:w="90" w:type="dxa"/>
              <w:right w:w="90" w:type="dxa"/>
            </w:tcMar>
          </w:tcPr>
          <w:p>
            <w:pPr>
              <w:keepNext w:val="0"/>
              <w:widowControl/>
              <w:spacing w:before="0" w:after="20" w:line="240" w:lineRule="auto"/>
            </w:pPr>
            <w:r>
              <w:rPr>
                <w:b w:val="0"/>
                <w:color w:val="000000"/>
                <w:sz w:val="19"/>
              </w:rPr>
              <w:t>Comprobación previa</w:t>
            </w:r>
          </w:p>
        </w:tc>
        <w:tc>
          <w:tcPr>
            <w:tcW w:type="dxa" w:w="7116"/>
            <w:vAlign w:val="center"/>
            <w:tcMar>
              <w:top w:w="75" w:type="dxa"/>
              <w:bottom w:w="75" w:type="dxa"/>
              <w:left w:w="90" w:type="dxa"/>
              <w:right w:w="90" w:type="dxa"/>
            </w:tcMar>
          </w:tcPr>
          <w:p>
            <w:pPr>
              <w:keepNext w:val="0"/>
              <w:widowControl/>
              <w:spacing w:before="0" w:after="20" w:line="240" w:lineRule="auto"/>
            </w:pPr>
            <w:r>
              <w:rPr>
                <w:b w:val="0"/>
                <w:color w:val="000000"/>
                <w:sz w:val="19"/>
              </w:rPr>
              <w:t>Conexiones y acceso disponibles; contratista del cliente entregó el punto eléctrico antes de energizar.</w:t>
            </w:r>
          </w:p>
        </w:tc>
      </w:tr>
    </w:tbl>
    <w:p>
      <w:pPr>
        <w:spacing w:after="20" w:before="0" w:line="240" w:lineRule="auto"/>
      </w:pPr>
      <w:r>
        <w:rPr>
          <w:sz w:val="4"/>
        </w:rPr>
      </w:r>
    </w:p>
    <w:p>
      <w:pPr>
        <w:pStyle w:val="Heading1"/>
      </w:pPr>
      <w:r>
        <w:t>Secuencia ejecutada</w:t>
      </w:r>
    </w:p>
    <w:p>
      <w:pPr>
        <w:pStyle w:val="ListBullet"/>
      </w:pPr>
      <w:r>
        <w:t>15 de septiembre: el equipo de Óscar cotejó series, ubicación y condiciones del local. La barra y el terminal POS estaban disponibles; se confirmó la posición modificada del POS antes de fijar canaletas.</w:t>
      </w:r>
    </w:p>
    <w:p>
      <w:pPr>
        <w:pStyle w:val="ListBullet"/>
      </w:pPr>
      <w:r>
        <w:t>16 de septiembre: se instalaron los equipos siguiendo las instrucciones del fabricante y las condiciones verificadas del sitio. Se controlaron conexiones, estabilidad y acceso de mantenimiento. El personal de montaje no modificó instalaciones fuera del alcance aprobado.</w:t>
      </w:r>
    </w:p>
    <w:p>
      <w:pPr>
        <w:pStyle w:val="ListBullet"/>
      </w:pPr>
      <w:r>
        <w:t>17 de septiembre: se ajustó el flujo de trabajo con los dos operarios del cliente, se retiraron protecciones de transporte y se realizaron comprobaciones de limpieza, arranque, parada y atención de avisos del equipo.</w:t>
      </w:r>
    </w:p>
    <w:p>
      <w:pPr>
        <w:pStyle w:val="ListBullet"/>
      </w:pPr>
      <w:r>
        <w:t>18 de septiembre: Ricardo revisó los criterios de liberación. Una observación sobre el orden de las instrucciones de cierre se resolvió durante la formación; no quedaron pendientes técnicos que impidieran el uso acordado.</w:t>
      </w:r>
    </w:p>
    <w:p>
      <w:pPr>
        <w:pStyle w:val="Heading1"/>
      </w:pPr>
      <w:r>
        <w:t>Resultados de liberación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643"/>
        <w:gridCol w:w="4270"/>
        <w:gridCol w:w="3253"/>
      </w:tblGrid>
      <w:tr>
        <w:trPr>
          <w:tblHeader w:val="true"/>
          <w:cantSplit/>
        </w:trPr>
        <w:tc>
          <w:tcPr>
            <w:tcW w:type="dxa" w:w="2643"/>
            <w:vAlign w:val="center"/>
            <w:tcMar>
              <w:top w:w="75" w:type="dxa"/>
              <w:bottom w:w="75" w:type="dxa"/>
              <w:left w:w="90" w:type="dxa"/>
              <w:right w:w="90" w:type="dxa"/>
            </w:tcMar>
            <w:shd w:fill="E8E8E8"/>
          </w:tcPr>
          <w:p>
            <w:pPr>
              <w:keepNext/>
              <w:widowControl/>
              <w:spacing w:before="0" w:after="20" w:line="240" w:lineRule="auto"/>
              <w:jc w:val="center"/>
            </w:pPr>
            <w:r>
              <w:rPr>
                <w:b/>
                <w:color w:val="000000"/>
                <w:sz w:val="19"/>
              </w:rPr>
              <w:t>Criterio</w:t>
            </w:r>
          </w:p>
        </w:tc>
        <w:tc>
          <w:tcPr>
            <w:tcW w:type="dxa" w:w="4270"/>
            <w:vAlign w:val="center"/>
            <w:tcMar>
              <w:top w:w="75" w:type="dxa"/>
              <w:bottom w:w="75" w:type="dxa"/>
              <w:left w:w="90" w:type="dxa"/>
              <w:right w:w="90" w:type="dxa"/>
            </w:tcMar>
            <w:shd w:fill="E8E8E8"/>
          </w:tcPr>
          <w:p>
            <w:pPr>
              <w:keepNext/>
              <w:widowControl/>
              <w:spacing w:before="0" w:after="20" w:line="240" w:lineRule="auto"/>
              <w:jc w:val="center"/>
            </w:pPr>
            <w:r>
              <w:rPr>
                <w:b/>
                <w:color w:val="000000"/>
                <w:sz w:val="19"/>
              </w:rPr>
              <w:t>Resultado observado</w:t>
            </w:r>
          </w:p>
        </w:tc>
        <w:tc>
          <w:tcPr>
            <w:tcW w:type="dxa" w:w="3253"/>
            <w:vAlign w:val="center"/>
            <w:tcMar>
              <w:top w:w="75" w:type="dxa"/>
              <w:bottom w:w="75" w:type="dxa"/>
              <w:left w:w="90" w:type="dxa"/>
              <w:right w:w="90" w:type="dxa"/>
            </w:tcMar>
            <w:shd w:fill="E8E8E8"/>
          </w:tcPr>
          <w:p>
            <w:pPr>
              <w:keepNext/>
              <w:widowControl/>
              <w:spacing w:before="0" w:after="20" w:line="240" w:lineRule="auto"/>
              <w:jc w:val="center"/>
            </w:pPr>
            <w:r>
              <w:rPr>
                <w:b/>
                <w:color w:val="000000"/>
                <w:sz w:val="19"/>
              </w:rPr>
              <w:t>Decisión</w:t>
            </w:r>
          </w:p>
        </w:tc>
      </w:tr>
      <w:tr>
        <w:trPr>
          <w:cantSplit/>
        </w:trPr>
        <w:tc>
          <w:tcPr>
            <w:tcW w:type="dxa" w:w="2643"/>
            <w:vAlign w:val="center"/>
            <w:tcMar>
              <w:top w:w="75" w:type="dxa"/>
              <w:bottom w:w="75" w:type="dxa"/>
              <w:left w:w="90" w:type="dxa"/>
              <w:right w:w="90" w:type="dxa"/>
            </w:tcMar>
          </w:tcPr>
          <w:p>
            <w:pPr>
              <w:keepNext w:val="0"/>
              <w:widowControl/>
              <w:spacing w:before="0" w:after="20" w:line="240" w:lineRule="auto"/>
            </w:pPr>
            <w:r>
              <w:rPr>
                <w:b w:val="0"/>
                <w:color w:val="000000"/>
                <w:sz w:val="19"/>
              </w:rPr>
              <w:t>Identidad y alcance</w:t>
            </w:r>
          </w:p>
        </w:tc>
        <w:tc>
          <w:tcPr>
            <w:tcW w:type="dxa" w:w="4270"/>
            <w:vAlign w:val="center"/>
            <w:tcMar>
              <w:top w:w="75" w:type="dxa"/>
              <w:bottom w:w="75" w:type="dxa"/>
              <w:left w:w="90" w:type="dxa"/>
              <w:right w:w="90" w:type="dxa"/>
            </w:tcMar>
          </w:tcPr>
          <w:p>
            <w:pPr>
              <w:keepNext w:val="0"/>
              <w:widowControl/>
              <w:spacing w:before="0" w:after="20" w:line="240" w:lineRule="auto"/>
            </w:pPr>
            <w:r>
              <w:rPr>
                <w:b w:val="0"/>
                <w:color w:val="000000"/>
                <w:sz w:val="19"/>
              </w:rPr>
              <w:t>ESP-CC-25117 y MOL-CC-25118 coinciden; POS en posición de CL-2025-009.</w:t>
            </w:r>
          </w:p>
        </w:tc>
        <w:tc>
          <w:tcPr>
            <w:tcW w:type="dxa" w:w="3253"/>
            <w:vAlign w:val="center"/>
            <w:tcMar>
              <w:top w:w="75" w:type="dxa"/>
              <w:bottom w:w="75" w:type="dxa"/>
              <w:left w:w="90" w:type="dxa"/>
              <w:right w:w="90" w:type="dxa"/>
            </w:tcMar>
          </w:tcPr>
          <w:p>
            <w:pPr>
              <w:keepNext w:val="0"/>
              <w:widowControl/>
              <w:spacing w:before="0" w:after="20" w:line="240" w:lineRule="auto"/>
            </w:pPr>
            <w:r>
              <w:rPr>
                <w:b w:val="0"/>
                <w:color w:val="000000"/>
                <w:sz w:val="19"/>
              </w:rPr>
              <w:t>Conforme.</w:t>
            </w:r>
          </w:p>
        </w:tc>
      </w:tr>
      <w:tr>
        <w:trPr>
          <w:cantSplit/>
        </w:trPr>
        <w:tc>
          <w:tcPr>
            <w:tcW w:type="dxa" w:w="2643"/>
            <w:vAlign w:val="center"/>
            <w:tcMar>
              <w:top w:w="75" w:type="dxa"/>
              <w:bottom w:w="75" w:type="dxa"/>
              <w:left w:w="90" w:type="dxa"/>
              <w:right w:w="90" w:type="dxa"/>
            </w:tcMar>
          </w:tcPr>
          <w:p>
            <w:pPr>
              <w:keepNext w:val="0"/>
              <w:widowControl/>
              <w:spacing w:before="0" w:after="20" w:line="240" w:lineRule="auto"/>
            </w:pPr>
            <w:r>
              <w:rPr>
                <w:b w:val="0"/>
                <w:color w:val="000000"/>
                <w:sz w:val="19"/>
              </w:rPr>
              <w:t>Conexiones y estabilidad</w:t>
            </w:r>
          </w:p>
        </w:tc>
        <w:tc>
          <w:tcPr>
            <w:tcW w:type="dxa" w:w="4270"/>
            <w:vAlign w:val="center"/>
            <w:tcMar>
              <w:top w:w="75" w:type="dxa"/>
              <w:bottom w:w="75" w:type="dxa"/>
              <w:left w:w="90" w:type="dxa"/>
              <w:right w:w="90" w:type="dxa"/>
            </w:tcMar>
          </w:tcPr>
          <w:p>
            <w:pPr>
              <w:keepNext w:val="0"/>
              <w:widowControl/>
              <w:spacing w:before="0" w:after="20" w:line="240" w:lineRule="auto"/>
            </w:pPr>
            <w:r>
              <w:rPr>
                <w:b w:val="0"/>
                <w:color w:val="000000"/>
                <w:sz w:val="19"/>
              </w:rPr>
              <w:t>Sin fugas visibles en comprobación; equipos estables; comprobación eléctrica por personal competente del alcance.</w:t>
            </w:r>
          </w:p>
        </w:tc>
        <w:tc>
          <w:tcPr>
            <w:tcW w:type="dxa" w:w="3253"/>
            <w:vAlign w:val="center"/>
            <w:tcMar>
              <w:top w:w="75" w:type="dxa"/>
              <w:bottom w:w="75" w:type="dxa"/>
              <w:left w:w="90" w:type="dxa"/>
              <w:right w:w="90" w:type="dxa"/>
            </w:tcMar>
          </w:tcPr>
          <w:p>
            <w:pPr>
              <w:keepNext w:val="0"/>
              <w:widowControl/>
              <w:spacing w:before="0" w:after="20" w:line="240" w:lineRule="auto"/>
            </w:pPr>
            <w:r>
              <w:rPr>
                <w:b w:val="0"/>
                <w:color w:val="000000"/>
                <w:sz w:val="19"/>
              </w:rPr>
              <w:t>Conforme.</w:t>
            </w:r>
          </w:p>
        </w:tc>
      </w:tr>
      <w:tr>
        <w:trPr>
          <w:cantSplit/>
        </w:trPr>
        <w:tc>
          <w:tcPr>
            <w:tcW w:type="dxa" w:w="2643"/>
            <w:vAlign w:val="center"/>
            <w:tcMar>
              <w:top w:w="75" w:type="dxa"/>
              <w:bottom w:w="75" w:type="dxa"/>
              <w:left w:w="90" w:type="dxa"/>
              <w:right w:w="90" w:type="dxa"/>
            </w:tcMar>
          </w:tcPr>
          <w:p>
            <w:pPr>
              <w:keepNext w:val="0"/>
              <w:widowControl/>
              <w:spacing w:before="0" w:after="20" w:line="240" w:lineRule="auto"/>
            </w:pPr>
            <w:r>
              <w:rPr>
                <w:b w:val="0"/>
                <w:color w:val="000000"/>
                <w:sz w:val="19"/>
              </w:rPr>
              <w:t>Capacidad acordada</w:t>
            </w:r>
          </w:p>
        </w:tc>
        <w:tc>
          <w:tcPr>
            <w:tcW w:type="dxa" w:w="4270"/>
            <w:vAlign w:val="center"/>
            <w:tcMar>
              <w:top w:w="75" w:type="dxa"/>
              <w:bottom w:w="75" w:type="dxa"/>
              <w:left w:w="90" w:type="dxa"/>
              <w:right w:w="90" w:type="dxa"/>
            </w:tcMar>
          </w:tcPr>
          <w:p>
            <w:pPr>
              <w:keepNext w:val="0"/>
              <w:widowControl/>
              <w:spacing w:before="0" w:after="20" w:line="240" w:lineRule="auto"/>
            </w:pPr>
            <w:r>
              <w:rPr>
                <w:b w:val="0"/>
                <w:color w:val="000000"/>
                <w:sz w:val="19"/>
              </w:rPr>
              <w:t>42 bebidas equivalentes preparadas en 30 minutos con dos operarios; requisito mínimo 40.</w:t>
            </w:r>
          </w:p>
        </w:tc>
        <w:tc>
          <w:tcPr>
            <w:tcW w:type="dxa" w:w="3253"/>
            <w:vAlign w:val="center"/>
            <w:tcMar>
              <w:top w:w="75" w:type="dxa"/>
              <w:bottom w:w="75" w:type="dxa"/>
              <w:left w:w="90" w:type="dxa"/>
              <w:right w:w="90" w:type="dxa"/>
            </w:tcMar>
          </w:tcPr>
          <w:p>
            <w:pPr>
              <w:keepNext w:val="0"/>
              <w:widowControl/>
              <w:spacing w:before="0" w:after="20" w:line="240" w:lineRule="auto"/>
            </w:pPr>
            <w:r>
              <w:rPr>
                <w:b w:val="0"/>
                <w:color w:val="000000"/>
                <w:sz w:val="19"/>
              </w:rPr>
              <w:t>Conforme.</w:t>
            </w:r>
          </w:p>
        </w:tc>
      </w:tr>
      <w:tr>
        <w:trPr>
          <w:cantSplit/>
        </w:trPr>
        <w:tc>
          <w:tcPr>
            <w:tcW w:type="dxa" w:w="2643"/>
            <w:vAlign w:val="center"/>
            <w:tcMar>
              <w:top w:w="75" w:type="dxa"/>
              <w:bottom w:w="75" w:type="dxa"/>
              <w:left w:w="90" w:type="dxa"/>
              <w:right w:w="90" w:type="dxa"/>
            </w:tcMar>
          </w:tcPr>
          <w:p>
            <w:pPr>
              <w:keepNext w:val="0"/>
              <w:widowControl/>
              <w:spacing w:before="0" w:after="20" w:line="240" w:lineRule="auto"/>
            </w:pPr>
            <w:r>
              <w:rPr>
                <w:b w:val="0"/>
                <w:color w:val="000000"/>
                <w:sz w:val="19"/>
              </w:rPr>
              <w:t>Flujo y mantenimiento</w:t>
            </w:r>
          </w:p>
        </w:tc>
        <w:tc>
          <w:tcPr>
            <w:tcW w:type="dxa" w:w="4270"/>
            <w:vAlign w:val="center"/>
            <w:tcMar>
              <w:top w:w="75" w:type="dxa"/>
              <w:bottom w:w="75" w:type="dxa"/>
              <w:left w:w="90" w:type="dxa"/>
              <w:right w:w="90" w:type="dxa"/>
            </w:tcMar>
          </w:tcPr>
          <w:p>
            <w:pPr>
              <w:keepNext w:val="0"/>
              <w:widowControl/>
              <w:spacing w:before="0" w:after="20" w:line="240" w:lineRule="auto"/>
            </w:pPr>
            <w:r>
              <w:rPr>
                <w:b w:val="0"/>
                <w:color w:val="000000"/>
                <w:sz w:val="19"/>
              </w:rPr>
              <w:t>Acceso lateral libre y recorrido de cobro separado de entrega durante simulación operativa.</w:t>
            </w:r>
          </w:p>
        </w:tc>
        <w:tc>
          <w:tcPr>
            <w:tcW w:type="dxa" w:w="3253"/>
            <w:vAlign w:val="center"/>
            <w:tcMar>
              <w:top w:w="75" w:type="dxa"/>
              <w:bottom w:w="75" w:type="dxa"/>
              <w:left w:w="90" w:type="dxa"/>
              <w:right w:w="90" w:type="dxa"/>
            </w:tcMar>
          </w:tcPr>
          <w:p>
            <w:pPr>
              <w:keepNext w:val="0"/>
              <w:widowControl/>
              <w:spacing w:before="0" w:after="20" w:line="240" w:lineRule="auto"/>
            </w:pPr>
            <w:r>
              <w:rPr>
                <w:b w:val="0"/>
                <w:color w:val="000000"/>
                <w:sz w:val="19"/>
              </w:rPr>
              <w:t>Conforme.</w:t>
            </w:r>
          </w:p>
        </w:tc>
      </w:tr>
      <w:tr>
        <w:trPr>
          <w:cantSplit/>
        </w:trPr>
        <w:tc>
          <w:tcPr>
            <w:tcW w:type="dxa" w:w="2643"/>
            <w:vAlign w:val="center"/>
            <w:tcMar>
              <w:top w:w="75" w:type="dxa"/>
              <w:bottom w:w="75" w:type="dxa"/>
              <w:left w:w="90" w:type="dxa"/>
              <w:right w:w="90" w:type="dxa"/>
            </w:tcMar>
          </w:tcPr>
          <w:p>
            <w:pPr>
              <w:keepNext w:val="0"/>
              <w:widowControl/>
              <w:spacing w:before="0" w:after="20" w:line="240" w:lineRule="auto"/>
            </w:pPr>
            <w:r>
              <w:rPr>
                <w:b w:val="0"/>
                <w:color w:val="000000"/>
                <w:sz w:val="19"/>
              </w:rPr>
              <w:t>Formación de uso</w:t>
            </w:r>
          </w:p>
        </w:tc>
        <w:tc>
          <w:tcPr>
            <w:tcW w:type="dxa" w:w="4270"/>
            <w:vAlign w:val="center"/>
            <w:tcMar>
              <w:top w:w="75" w:type="dxa"/>
              <w:bottom w:w="75" w:type="dxa"/>
              <w:left w:w="90" w:type="dxa"/>
              <w:right w:w="90" w:type="dxa"/>
            </w:tcMar>
          </w:tcPr>
          <w:p>
            <w:pPr>
              <w:keepNext w:val="0"/>
              <w:widowControl/>
              <w:spacing w:before="0" w:after="20" w:line="240" w:lineRule="auto"/>
            </w:pPr>
            <w:r>
              <w:rPr>
                <w:b w:val="0"/>
                <w:color w:val="000000"/>
                <w:sz w:val="19"/>
              </w:rPr>
              <w:t>Dos operarios demostraron arranque, limpieza diaria y actuación ante aviso.</w:t>
            </w:r>
          </w:p>
        </w:tc>
        <w:tc>
          <w:tcPr>
            <w:tcW w:type="dxa" w:w="3253"/>
            <w:vAlign w:val="center"/>
            <w:tcMar>
              <w:top w:w="75" w:type="dxa"/>
              <w:bottom w:w="75" w:type="dxa"/>
              <w:left w:w="90" w:type="dxa"/>
              <w:right w:w="90" w:type="dxa"/>
            </w:tcMar>
          </w:tcPr>
          <w:p>
            <w:pPr>
              <w:keepNext w:val="0"/>
              <w:widowControl/>
              <w:spacing w:before="0" w:after="20" w:line="240" w:lineRule="auto"/>
            </w:pPr>
            <w:r>
              <w:rPr>
                <w:b w:val="0"/>
                <w:color w:val="000000"/>
                <w:sz w:val="19"/>
              </w:rPr>
              <w:t>Conforme; constancia de formación en CC-RG-05.</w:t>
            </w:r>
          </w:p>
        </w:tc>
      </w:tr>
      <w:tr>
        <w:trPr>
          <w:cantSplit/>
        </w:trPr>
        <w:tc>
          <w:tcPr>
            <w:tcW w:type="dxa" w:w="2643"/>
            <w:vAlign w:val="center"/>
            <w:tcMar>
              <w:top w:w="75" w:type="dxa"/>
              <w:bottom w:w="75" w:type="dxa"/>
              <w:left w:w="90" w:type="dxa"/>
              <w:right w:w="90" w:type="dxa"/>
            </w:tcMar>
          </w:tcPr>
          <w:p>
            <w:pPr>
              <w:keepNext w:val="0"/>
              <w:widowControl/>
              <w:spacing w:before="0" w:after="20" w:line="240" w:lineRule="auto"/>
            </w:pPr>
            <w:r>
              <w:rPr>
                <w:b w:val="0"/>
                <w:color w:val="000000"/>
                <w:sz w:val="19"/>
              </w:rPr>
              <w:t>Documentación de entrega</w:t>
            </w:r>
          </w:p>
        </w:tc>
        <w:tc>
          <w:tcPr>
            <w:tcW w:type="dxa" w:w="4270"/>
            <w:vAlign w:val="center"/>
            <w:tcMar>
              <w:top w:w="75" w:type="dxa"/>
              <w:bottom w:w="75" w:type="dxa"/>
              <w:left w:w="90" w:type="dxa"/>
              <w:right w:w="90" w:type="dxa"/>
            </w:tcMar>
          </w:tcPr>
          <w:p>
            <w:pPr>
              <w:keepNext w:val="0"/>
              <w:widowControl/>
              <w:spacing w:before="0" w:after="20" w:line="240" w:lineRule="auto"/>
            </w:pPr>
            <w:r>
              <w:rPr>
                <w:b w:val="0"/>
                <w:color w:val="000000"/>
                <w:sz w:val="19"/>
              </w:rPr>
              <w:t>Instrucciones de operación y canal de soporte explicados al cliente.</w:t>
            </w:r>
          </w:p>
        </w:tc>
        <w:tc>
          <w:tcPr>
            <w:tcW w:type="dxa" w:w="3253"/>
            <w:vAlign w:val="center"/>
            <w:tcMar>
              <w:top w:w="75" w:type="dxa"/>
              <w:bottom w:w="75" w:type="dxa"/>
              <w:left w:w="90" w:type="dxa"/>
              <w:right w:w="90" w:type="dxa"/>
            </w:tcMar>
          </w:tcPr>
          <w:p>
            <w:pPr>
              <w:keepNext w:val="0"/>
              <w:widowControl/>
              <w:spacing w:before="0" w:after="20" w:line="240" w:lineRule="auto"/>
            </w:pPr>
            <w:r>
              <w:rPr>
                <w:b w:val="0"/>
                <w:color w:val="000000"/>
                <w:sz w:val="19"/>
              </w:rPr>
              <w:t>Conforme; originales externos no incluidos en este lote.</w:t>
            </w:r>
          </w:p>
        </w:tc>
      </w:tr>
    </w:tbl>
    <w:p>
      <w:pPr>
        <w:spacing w:after="20" w:before="0" w:line="240" w:lineRule="auto"/>
      </w:pPr>
      <w:r>
        <w:rPr>
          <w:sz w:val="4"/>
        </w:rPr>
      </w:r>
    </w:p>
    <w:p>
      <w:pPr>
        <w:pStyle w:val="Heading1"/>
      </w:pPr>
      <w:r>
        <w:t>Aceptación y transferencia</w:t>
      </w:r>
    </w:p>
    <w:p>
      <w:r>
        <w:t>Ricardo Muñoz autorizó la liberación interna el 2025-09-18 a las 15:20. María Fernanda Cuéllar registró la aceptación de entrega a las 16:05. Sebastián Vélez recibió la constancia para tramitar el hito final neto de COP 45.000.000; esta constancia no afirma que dicho importe haya sido pagado.</w:t>
      </w:r>
    </w:p>
    <w:p>
      <w:r>
        <w:t>Se explicó que el cliente debe conservar los accesos de mantenimiento y registrar cualquier modificación posterior. Servicio al cliente recibe las series, la fecha de entrega y las condiciones pactadas de soporte. El proyecto pasa a posventa con trazabilidad activa.</w:t>
      </w:r>
    </w:p>
    <w:p>
      <w:pPr>
        <w:pStyle w:val="Heading1"/>
      </w:pPr>
      <w:r>
        <w:t>Ticket TCK 2025 0419</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050"/>
        <w:gridCol w:w="7116"/>
      </w:tblGrid>
      <w:tr>
        <w:trPr>
          <w:tblHeader w:val="true"/>
          <w:cantSplit/>
        </w:trPr>
        <w:tc>
          <w:tcPr>
            <w:tcW w:type="dxa" w:w="3050"/>
            <w:vAlign w:val="center"/>
            <w:tcMar>
              <w:top w:w="75" w:type="dxa"/>
              <w:bottom w:w="75" w:type="dxa"/>
              <w:left w:w="90" w:type="dxa"/>
              <w:right w:w="90" w:type="dxa"/>
            </w:tcMar>
            <w:shd w:fill="E8E8E8"/>
          </w:tcPr>
          <w:p>
            <w:pPr>
              <w:keepNext/>
              <w:widowControl/>
              <w:spacing w:before="0" w:after="20" w:line="240" w:lineRule="auto"/>
              <w:jc w:val="center"/>
            </w:pPr>
            <w:r>
              <w:rPr>
                <w:b/>
                <w:color w:val="000000"/>
                <w:sz w:val="19"/>
              </w:rPr>
              <w:t>Campo</w:t>
            </w:r>
          </w:p>
        </w:tc>
        <w:tc>
          <w:tcPr>
            <w:tcW w:type="dxa" w:w="7116"/>
            <w:vAlign w:val="center"/>
            <w:tcMar>
              <w:top w:w="75" w:type="dxa"/>
              <w:bottom w:w="75" w:type="dxa"/>
              <w:left w:w="90" w:type="dxa"/>
              <w:right w:w="90" w:type="dxa"/>
            </w:tcMar>
            <w:shd w:fill="E8E8E8"/>
          </w:tcPr>
          <w:p>
            <w:pPr>
              <w:keepNext/>
              <w:widowControl/>
              <w:spacing w:before="0" w:after="20" w:line="240" w:lineRule="auto"/>
              <w:jc w:val="center"/>
            </w:pPr>
            <w:r>
              <w:rPr>
                <w:b/>
                <w:color w:val="000000"/>
                <w:sz w:val="19"/>
              </w:rPr>
              <w:t>Registro</w:t>
            </w:r>
          </w:p>
        </w:tc>
      </w:tr>
      <w:tr>
        <w:trPr>
          <w:cantSplit/>
        </w:trPr>
        <w:tc>
          <w:tcPr>
            <w:tcW w:type="dxa" w:w="3050"/>
            <w:vAlign w:val="center"/>
            <w:tcMar>
              <w:top w:w="75" w:type="dxa"/>
              <w:bottom w:w="75" w:type="dxa"/>
              <w:left w:w="90" w:type="dxa"/>
              <w:right w:w="90" w:type="dxa"/>
            </w:tcMar>
          </w:tcPr>
          <w:p>
            <w:pPr>
              <w:keepNext w:val="0"/>
              <w:widowControl/>
              <w:spacing w:before="0" w:after="20" w:line="240" w:lineRule="auto"/>
            </w:pPr>
            <w:r>
              <w:rPr>
                <w:b w:val="0"/>
                <w:color w:val="000000"/>
                <w:sz w:val="19"/>
              </w:rPr>
              <w:t>Ingreso</w:t>
            </w:r>
          </w:p>
        </w:tc>
        <w:tc>
          <w:tcPr>
            <w:tcW w:type="dxa" w:w="7116"/>
            <w:vAlign w:val="center"/>
            <w:tcMar>
              <w:top w:w="75" w:type="dxa"/>
              <w:bottom w:w="75" w:type="dxa"/>
              <w:left w:w="90" w:type="dxa"/>
              <w:right w:w="90" w:type="dxa"/>
            </w:tcMar>
          </w:tcPr>
          <w:p>
            <w:pPr>
              <w:keepNext w:val="0"/>
              <w:widowControl/>
              <w:spacing w:before="0" w:after="20" w:line="240" w:lineRule="auto"/>
            </w:pPr>
            <w:r>
              <w:rPr>
                <w:b w:val="0"/>
                <w:color w:val="000000"/>
                <w:sz w:val="19"/>
              </w:rPr>
              <w:t>2025-09-25 a las 08:10; cliente informa dosis irregulares del molino y demora en la fila.</w:t>
            </w:r>
          </w:p>
        </w:tc>
      </w:tr>
      <w:tr>
        <w:trPr>
          <w:cantSplit/>
        </w:trPr>
        <w:tc>
          <w:tcPr>
            <w:tcW w:type="dxa" w:w="3050"/>
            <w:vAlign w:val="center"/>
            <w:tcMar>
              <w:top w:w="75" w:type="dxa"/>
              <w:bottom w:w="75" w:type="dxa"/>
              <w:left w:w="90" w:type="dxa"/>
              <w:right w:w="90" w:type="dxa"/>
            </w:tcMar>
          </w:tcPr>
          <w:p>
            <w:pPr>
              <w:keepNext w:val="0"/>
              <w:widowControl/>
              <w:spacing w:before="0" w:after="20" w:line="240" w:lineRule="auto"/>
            </w:pPr>
            <w:r>
              <w:rPr>
                <w:b w:val="0"/>
                <w:color w:val="000000"/>
                <w:sz w:val="19"/>
              </w:rPr>
              <w:t>Clasificación</w:t>
            </w:r>
          </w:p>
        </w:tc>
        <w:tc>
          <w:tcPr>
            <w:tcW w:type="dxa" w:w="7116"/>
            <w:vAlign w:val="center"/>
            <w:tcMar>
              <w:top w:w="75" w:type="dxa"/>
              <w:bottom w:w="75" w:type="dxa"/>
              <w:left w:w="90" w:type="dxa"/>
              <w:right w:w="90" w:type="dxa"/>
            </w:tcMar>
          </w:tcPr>
          <w:p>
            <w:pPr>
              <w:keepNext w:val="0"/>
              <w:widowControl/>
              <w:spacing w:before="0" w:after="20" w:line="240" w:lineRule="auto"/>
            </w:pPr>
            <w:r>
              <w:rPr>
                <w:b w:val="0"/>
                <w:color w:val="000000"/>
                <w:sz w:val="19"/>
              </w:rPr>
              <w:t>Incidencia operativa; sin reporte de lesión ni daño físico. Serie MOL-CC-25118.</w:t>
            </w:r>
          </w:p>
        </w:tc>
      </w:tr>
      <w:tr>
        <w:trPr>
          <w:cantSplit/>
        </w:trPr>
        <w:tc>
          <w:tcPr>
            <w:tcW w:type="dxa" w:w="3050"/>
            <w:vAlign w:val="center"/>
            <w:tcMar>
              <w:top w:w="75" w:type="dxa"/>
              <w:bottom w:w="75" w:type="dxa"/>
              <w:left w:w="90" w:type="dxa"/>
              <w:right w:w="90" w:type="dxa"/>
            </w:tcMar>
          </w:tcPr>
          <w:p>
            <w:pPr>
              <w:keepNext w:val="0"/>
              <w:widowControl/>
              <w:spacing w:before="0" w:after="20" w:line="240" w:lineRule="auto"/>
            </w:pPr>
            <w:r>
              <w:rPr>
                <w:b w:val="0"/>
                <w:color w:val="000000"/>
                <w:sz w:val="19"/>
              </w:rPr>
              <w:t>Atención inicial</w:t>
            </w:r>
          </w:p>
        </w:tc>
        <w:tc>
          <w:tcPr>
            <w:tcW w:type="dxa" w:w="7116"/>
            <w:vAlign w:val="center"/>
            <w:tcMar>
              <w:top w:w="75" w:type="dxa"/>
              <w:bottom w:w="75" w:type="dxa"/>
              <w:left w:w="90" w:type="dxa"/>
              <w:right w:w="90" w:type="dxa"/>
            </w:tcMar>
          </w:tcPr>
          <w:p>
            <w:pPr>
              <w:keepNext w:val="0"/>
              <w:widowControl/>
              <w:spacing w:before="0" w:after="20" w:line="240" w:lineRule="auto"/>
            </w:pPr>
            <w:r>
              <w:rPr>
                <w:b w:val="0"/>
                <w:color w:val="000000"/>
                <w:sz w:val="19"/>
              </w:rPr>
              <w:t>Mariana León confirma recepción a las 08:35 y acuerda evitar ajustes no guiados.</w:t>
            </w:r>
          </w:p>
        </w:tc>
      </w:tr>
      <w:tr>
        <w:trPr>
          <w:cantSplit/>
        </w:trPr>
        <w:tc>
          <w:tcPr>
            <w:tcW w:type="dxa" w:w="3050"/>
            <w:vAlign w:val="center"/>
            <w:tcMar>
              <w:top w:w="75" w:type="dxa"/>
              <w:bottom w:w="75" w:type="dxa"/>
              <w:left w:w="90" w:type="dxa"/>
              <w:right w:w="90" w:type="dxa"/>
            </w:tcMar>
          </w:tcPr>
          <w:p>
            <w:pPr>
              <w:keepNext w:val="0"/>
              <w:widowControl/>
              <w:spacing w:before="0" w:after="20" w:line="240" w:lineRule="auto"/>
            </w:pPr>
            <w:r>
              <w:rPr>
                <w:b w:val="0"/>
                <w:color w:val="000000"/>
                <w:sz w:val="19"/>
              </w:rPr>
              <w:t>Contención</w:t>
            </w:r>
          </w:p>
        </w:tc>
        <w:tc>
          <w:tcPr>
            <w:tcW w:type="dxa" w:w="7116"/>
            <w:vAlign w:val="center"/>
            <w:tcMar>
              <w:top w:w="75" w:type="dxa"/>
              <w:bottom w:w="75" w:type="dxa"/>
              <w:left w:w="90" w:type="dxa"/>
              <w:right w:w="90" w:type="dxa"/>
            </w:tcMar>
          </w:tcPr>
          <w:p>
            <w:pPr>
              <w:keepNext w:val="0"/>
              <w:widowControl/>
              <w:spacing w:before="0" w:after="20" w:line="240" w:lineRule="auto"/>
            </w:pPr>
            <w:r>
              <w:rPr>
                <w:b w:val="0"/>
                <w:color w:val="000000"/>
                <w:sz w:val="19"/>
              </w:rPr>
              <w:t>Cliente utiliza el equipo conforme a las instrucciones de soporte y conserva el lote de café para diagnóstico.</w:t>
            </w:r>
          </w:p>
        </w:tc>
      </w:tr>
      <w:tr>
        <w:trPr>
          <w:cantSplit/>
        </w:trPr>
        <w:tc>
          <w:tcPr>
            <w:tcW w:type="dxa" w:w="3050"/>
            <w:vAlign w:val="center"/>
            <w:tcMar>
              <w:top w:w="75" w:type="dxa"/>
              <w:bottom w:w="75" w:type="dxa"/>
              <w:left w:w="90" w:type="dxa"/>
              <w:right w:w="90" w:type="dxa"/>
            </w:tcMar>
          </w:tcPr>
          <w:p>
            <w:pPr>
              <w:keepNext w:val="0"/>
              <w:widowControl/>
              <w:spacing w:before="0" w:after="20" w:line="240" w:lineRule="auto"/>
            </w:pPr>
            <w:r>
              <w:rPr>
                <w:b w:val="0"/>
                <w:color w:val="000000"/>
                <w:sz w:val="19"/>
              </w:rPr>
              <w:t>Diagnóstico</w:t>
            </w:r>
          </w:p>
        </w:tc>
        <w:tc>
          <w:tcPr>
            <w:tcW w:type="dxa" w:w="7116"/>
            <w:vAlign w:val="center"/>
            <w:tcMar>
              <w:top w:w="75" w:type="dxa"/>
              <w:bottom w:w="75" w:type="dxa"/>
              <w:left w:w="90" w:type="dxa"/>
              <w:right w:w="90" w:type="dxa"/>
            </w:tcMar>
          </w:tcPr>
          <w:p>
            <w:pPr>
              <w:keepNext w:val="0"/>
              <w:widowControl/>
              <w:spacing w:before="0" w:after="20" w:line="240" w:lineRule="auto"/>
            </w:pPr>
            <w:r>
              <w:rPr>
                <w:b w:val="0"/>
                <w:color w:val="000000"/>
                <w:sz w:val="19"/>
              </w:rPr>
              <w:t>2025-09-26: ajuste de molienda modificado tras cambiar mezcla; no se encontró falla del conjunto mecánico.</w:t>
            </w:r>
          </w:p>
        </w:tc>
      </w:tr>
      <w:tr>
        <w:trPr>
          <w:cantSplit/>
        </w:trPr>
        <w:tc>
          <w:tcPr>
            <w:tcW w:type="dxa" w:w="3050"/>
            <w:vAlign w:val="center"/>
            <w:tcMar>
              <w:top w:w="75" w:type="dxa"/>
              <w:bottom w:w="75" w:type="dxa"/>
              <w:left w:w="90" w:type="dxa"/>
              <w:right w:w="90" w:type="dxa"/>
            </w:tcMar>
          </w:tcPr>
          <w:p>
            <w:pPr>
              <w:keepNext w:val="0"/>
              <w:widowControl/>
              <w:spacing w:before="0" w:after="20" w:line="240" w:lineRule="auto"/>
            </w:pPr>
            <w:r>
              <w:rPr>
                <w:b w:val="0"/>
                <w:color w:val="000000"/>
                <w:sz w:val="19"/>
              </w:rPr>
              <w:t>Solución</w:t>
            </w:r>
          </w:p>
        </w:tc>
        <w:tc>
          <w:tcPr>
            <w:tcW w:type="dxa" w:w="7116"/>
            <w:vAlign w:val="center"/>
            <w:tcMar>
              <w:top w:w="75" w:type="dxa"/>
              <w:bottom w:w="75" w:type="dxa"/>
              <w:left w:w="90" w:type="dxa"/>
              <w:right w:w="90" w:type="dxa"/>
            </w:tcMar>
          </w:tcPr>
          <w:p>
            <w:pPr>
              <w:keepNext w:val="0"/>
              <w:widowControl/>
              <w:spacing w:before="0" w:after="20" w:line="240" w:lineRule="auto"/>
            </w:pPr>
            <w:r>
              <w:rPr>
                <w:b w:val="0"/>
                <w:color w:val="000000"/>
                <w:sz w:val="19"/>
              </w:rPr>
              <w:t>Reajuste por técnico, demostración de dosificación y actualización de la guía de cambios de mezcla.</w:t>
            </w:r>
          </w:p>
        </w:tc>
      </w:tr>
      <w:tr>
        <w:trPr>
          <w:cantSplit/>
        </w:trPr>
        <w:tc>
          <w:tcPr>
            <w:tcW w:type="dxa" w:w="3050"/>
            <w:vAlign w:val="center"/>
            <w:tcMar>
              <w:top w:w="75" w:type="dxa"/>
              <w:bottom w:w="75" w:type="dxa"/>
              <w:left w:w="90" w:type="dxa"/>
              <w:right w:w="90" w:type="dxa"/>
            </w:tcMar>
          </w:tcPr>
          <w:p>
            <w:pPr>
              <w:keepNext w:val="0"/>
              <w:widowControl/>
              <w:spacing w:before="0" w:after="20" w:line="240" w:lineRule="auto"/>
            </w:pPr>
            <w:r>
              <w:rPr>
                <w:b w:val="0"/>
                <w:color w:val="000000"/>
                <w:sz w:val="19"/>
              </w:rPr>
              <w:t>Comprobación</w:t>
            </w:r>
          </w:p>
        </w:tc>
        <w:tc>
          <w:tcPr>
            <w:tcW w:type="dxa" w:w="7116"/>
            <w:vAlign w:val="center"/>
            <w:tcMar>
              <w:top w:w="75" w:type="dxa"/>
              <w:bottom w:w="75" w:type="dxa"/>
              <w:left w:w="90" w:type="dxa"/>
              <w:right w:w="90" w:type="dxa"/>
            </w:tcMar>
          </w:tcPr>
          <w:p>
            <w:pPr>
              <w:keepNext w:val="0"/>
              <w:widowControl/>
              <w:spacing w:before="0" w:after="20" w:line="240" w:lineRule="auto"/>
            </w:pPr>
            <w:r>
              <w:rPr>
                <w:b w:val="0"/>
                <w:color w:val="000000"/>
                <w:sz w:val="19"/>
              </w:rPr>
              <w:t>2025-10-02: tres series consecutivas dentro del rango acordado para la receta; cliente sin repetición de la demora.</w:t>
            </w:r>
          </w:p>
        </w:tc>
      </w:tr>
      <w:tr>
        <w:trPr>
          <w:cantSplit/>
        </w:trPr>
        <w:tc>
          <w:tcPr>
            <w:tcW w:type="dxa" w:w="3050"/>
            <w:vAlign w:val="center"/>
            <w:tcMar>
              <w:top w:w="75" w:type="dxa"/>
              <w:bottom w:w="75" w:type="dxa"/>
              <w:left w:w="90" w:type="dxa"/>
              <w:right w:w="90" w:type="dxa"/>
            </w:tcMar>
          </w:tcPr>
          <w:p>
            <w:pPr>
              <w:keepNext w:val="0"/>
              <w:widowControl/>
              <w:spacing w:before="0" w:after="20" w:line="240" w:lineRule="auto"/>
            </w:pPr>
            <w:r>
              <w:rPr>
                <w:b w:val="0"/>
                <w:color w:val="000000"/>
                <w:sz w:val="19"/>
              </w:rPr>
              <w:t>Cierre</w:t>
            </w:r>
          </w:p>
        </w:tc>
        <w:tc>
          <w:tcPr>
            <w:tcW w:type="dxa" w:w="7116"/>
            <w:vAlign w:val="center"/>
            <w:tcMar>
              <w:top w:w="75" w:type="dxa"/>
              <w:bottom w:w="75" w:type="dxa"/>
              <w:left w:w="90" w:type="dxa"/>
              <w:right w:w="90" w:type="dxa"/>
            </w:tcMar>
          </w:tcPr>
          <w:p>
            <w:pPr>
              <w:keepNext w:val="0"/>
              <w:widowControl/>
              <w:spacing w:before="0" w:after="20" w:line="240" w:lineRule="auto"/>
            </w:pPr>
            <w:r>
              <w:rPr>
                <w:b w:val="0"/>
                <w:color w:val="000000"/>
                <w:sz w:val="19"/>
              </w:rPr>
              <w:t>2025-10-03; Mariana confirma resolución con la administradora. Ricardo valida el registro.</w:t>
            </w:r>
          </w:p>
        </w:tc>
      </w:tr>
    </w:tbl>
    <w:p>
      <w:pPr>
        <w:spacing w:after="20" w:before="0" w:line="240" w:lineRule="auto"/>
      </w:pPr>
      <w:r>
        <w:rPr>
          <w:sz w:val="4"/>
        </w:rPr>
      </w:r>
    </w:p>
    <w:p>
      <w:pPr>
        <w:pStyle w:val="Heading1"/>
      </w:pPr>
      <w:r>
        <w:t>Aprendizaje y satisfacción</w:t>
      </w:r>
    </w:p>
    <w:p>
      <w:r>
        <w:t>El análisis no atribuye automáticamente la incidencia a mal uso. La explicación entregada inicialmente describía la limpieza, pero no dejaba suficientemente claro cuándo solicitar apoyo para una nueva mezcla. Se acordó incluir ese caso en la formación de futuros proyectos y comunicar la mejora a Consultoría y Montaje.</w:t>
      </w:r>
    </w:p>
    <w:p>
      <w:r>
        <w:t>La encuesta de este proyecto registra 4 de 5 puntos en satisfacción general, con observación favorable sobre la respuesta de soporte. Ese resultado individual no reemplaza el índice corporativo CSAT de 86/100 ni permite recalcularlo sin el conjunto de respuestas.</w:t>
      </w:r>
    </w:p>
    <w:p>
      <w:r>
        <w:t>El expediente se cierra con el ticket resuelto y la recomendación transmitida a CC-CP-16. La recurrencia se revisará en el siguiente comité de calidad, sin borrar la incidencia del historial del cliente.</w:t>
      </w:r>
    </w:p>
    <w:p>
      <w:pPr>
        <w:pStyle w:val="Heading1"/>
      </w:pPr>
      <w:r>
        <w:t>Documentos relacionados</w:t>
      </w:r>
    </w:p>
    <w:p>
      <w:r>
        <w:t>CC-RG-01 | CC-RG-02 | CC-RG-05 | CC-CP-12 | CC-CP-13 | CC-CP-16 | CC-PR-04</w:t>
      </w:r>
    </w:p>
    <w:p>
      <w:pPr>
        <w:pStyle w:val="Heading1"/>
      </w:pPr>
      <w:r>
        <w:t>Historial de cambios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643"/>
        <w:gridCol w:w="4270"/>
        <w:gridCol w:w="3253"/>
      </w:tblGrid>
      <w:tr>
        <w:trPr>
          <w:tblHeader w:val="true"/>
          <w:cantSplit/>
        </w:trPr>
        <w:tc>
          <w:tcPr>
            <w:tcW w:type="dxa" w:w="2643"/>
            <w:vAlign w:val="center"/>
            <w:tcMar>
              <w:top w:w="75" w:type="dxa"/>
              <w:bottom w:w="75" w:type="dxa"/>
              <w:left w:w="90" w:type="dxa"/>
              <w:right w:w="90" w:type="dxa"/>
            </w:tcMar>
            <w:shd w:fill="E8E8E8"/>
          </w:tcPr>
          <w:p>
            <w:pPr>
              <w:keepNext/>
              <w:widowControl/>
              <w:spacing w:before="0" w:after="20" w:line="240" w:lineRule="auto"/>
              <w:jc w:val="center"/>
            </w:pPr>
            <w:r>
              <w:rPr>
                <w:b/>
                <w:color w:val="000000"/>
                <w:sz w:val="19"/>
              </w:rPr>
              <w:t>Revisión</w:t>
            </w:r>
          </w:p>
        </w:tc>
        <w:tc>
          <w:tcPr>
            <w:tcW w:type="dxa" w:w="4270"/>
            <w:vAlign w:val="center"/>
            <w:tcMar>
              <w:top w:w="75" w:type="dxa"/>
              <w:bottom w:w="75" w:type="dxa"/>
              <w:left w:w="90" w:type="dxa"/>
              <w:right w:w="90" w:type="dxa"/>
            </w:tcMar>
            <w:shd w:fill="E8E8E8"/>
          </w:tcPr>
          <w:p>
            <w:pPr>
              <w:keepNext/>
              <w:widowControl/>
              <w:spacing w:before="0" w:after="20" w:line="240" w:lineRule="auto"/>
              <w:jc w:val="center"/>
            </w:pPr>
            <w:r>
              <w:rPr>
                <w:b/>
                <w:color w:val="000000"/>
                <w:sz w:val="19"/>
              </w:rPr>
              <w:t>Fecha</w:t>
            </w:r>
          </w:p>
        </w:tc>
        <w:tc>
          <w:tcPr>
            <w:tcW w:type="dxa" w:w="3253"/>
            <w:vAlign w:val="center"/>
            <w:tcMar>
              <w:top w:w="75" w:type="dxa"/>
              <w:bottom w:w="75" w:type="dxa"/>
              <w:left w:w="90" w:type="dxa"/>
              <w:right w:w="90" w:type="dxa"/>
            </w:tcMar>
            <w:shd w:fill="E8E8E8"/>
          </w:tcPr>
          <w:p>
            <w:pPr>
              <w:keepNext/>
              <w:widowControl/>
              <w:spacing w:before="0" w:after="20" w:line="240" w:lineRule="auto"/>
              <w:jc w:val="center"/>
            </w:pPr>
            <w:r>
              <w:rPr>
                <w:b/>
                <w:color w:val="000000"/>
                <w:sz w:val="19"/>
              </w:rPr>
              <w:t>Cambio registrado</w:t>
            </w:r>
          </w:p>
        </w:tc>
      </w:tr>
      <w:tr>
        <w:trPr>
          <w:cantSplit/>
        </w:trPr>
        <w:tc>
          <w:tcPr>
            <w:tcW w:type="dxa" w:w="2643"/>
            <w:vAlign w:val="center"/>
            <w:tcMar>
              <w:top w:w="75" w:type="dxa"/>
              <w:bottom w:w="75" w:type="dxa"/>
              <w:left w:w="90" w:type="dxa"/>
              <w:right w:w="90" w:type="dxa"/>
            </w:tcMar>
          </w:tcPr>
          <w:p>
            <w:pPr>
              <w:keepNext w:val="0"/>
              <w:widowControl/>
              <w:spacing w:before="0" w:after="20" w:line="240" w:lineRule="auto"/>
              <w:jc w:val="center"/>
            </w:pPr>
            <w:r>
              <w:rPr>
                <w:b w:val="0"/>
                <w:color w:val="000000"/>
                <w:sz w:val="19"/>
              </w:rPr>
              <w:t>01</w:t>
            </w:r>
          </w:p>
        </w:tc>
        <w:tc>
          <w:tcPr>
            <w:tcW w:type="dxa" w:w="4270"/>
            <w:vAlign w:val="center"/>
            <w:tcMar>
              <w:top w:w="75" w:type="dxa"/>
              <w:bottom w:w="75" w:type="dxa"/>
              <w:left w:w="90" w:type="dxa"/>
              <w:right w:w="90" w:type="dxa"/>
            </w:tcMar>
          </w:tcPr>
          <w:p>
            <w:pPr>
              <w:keepNext w:val="0"/>
              <w:widowControl/>
              <w:spacing w:before="0" w:after="20" w:line="240" w:lineRule="auto"/>
              <w:jc w:val="center"/>
            </w:pPr>
            <w:r>
              <w:rPr>
                <w:b w:val="0"/>
                <w:color w:val="000000"/>
                <w:sz w:val="19"/>
              </w:rPr>
              <w:t>2025-09-18</w:t>
            </w:r>
          </w:p>
        </w:tc>
        <w:tc>
          <w:tcPr>
            <w:tcW w:type="dxa" w:w="3253"/>
            <w:vAlign w:val="center"/>
            <w:tcMar>
              <w:top w:w="75" w:type="dxa"/>
              <w:bottom w:w="75" w:type="dxa"/>
              <w:left w:w="90" w:type="dxa"/>
              <w:right w:w="90" w:type="dxa"/>
            </w:tcMar>
          </w:tcPr>
          <w:p>
            <w:pPr>
              <w:keepNext w:val="0"/>
              <w:widowControl/>
              <w:spacing w:before="0" w:after="20" w:line="240" w:lineRule="auto"/>
            </w:pPr>
            <w:r>
              <w:rPr>
                <w:b w:val="0"/>
                <w:color w:val="000000"/>
                <w:sz w:val="19"/>
              </w:rPr>
              <w:t>Liberación y aceptación de la instalación.</w:t>
            </w:r>
          </w:p>
        </w:tc>
      </w:tr>
      <w:tr>
        <w:trPr>
          <w:cantSplit/>
        </w:trPr>
        <w:tc>
          <w:tcPr>
            <w:tcW w:type="dxa" w:w="2643"/>
            <w:vAlign w:val="center"/>
            <w:tcMar>
              <w:top w:w="75" w:type="dxa"/>
              <w:bottom w:w="75" w:type="dxa"/>
              <w:left w:w="90" w:type="dxa"/>
              <w:right w:w="90" w:type="dxa"/>
            </w:tcMar>
          </w:tcPr>
          <w:p>
            <w:pPr>
              <w:keepNext w:val="0"/>
              <w:widowControl/>
              <w:spacing w:before="0" w:after="20" w:line="240" w:lineRule="auto"/>
              <w:jc w:val="center"/>
            </w:pPr>
            <w:r>
              <w:rPr>
                <w:b w:val="0"/>
                <w:color w:val="000000"/>
                <w:sz w:val="19"/>
              </w:rPr>
              <w:t>02</w:t>
            </w:r>
          </w:p>
        </w:tc>
        <w:tc>
          <w:tcPr>
            <w:tcW w:type="dxa" w:w="4270"/>
            <w:vAlign w:val="center"/>
            <w:tcMar>
              <w:top w:w="75" w:type="dxa"/>
              <w:bottom w:w="75" w:type="dxa"/>
              <w:left w:w="90" w:type="dxa"/>
              <w:right w:w="90" w:type="dxa"/>
            </w:tcMar>
          </w:tcPr>
          <w:p>
            <w:pPr>
              <w:keepNext w:val="0"/>
              <w:widowControl/>
              <w:spacing w:before="0" w:after="20" w:line="240" w:lineRule="auto"/>
              <w:jc w:val="center"/>
            </w:pPr>
            <w:r>
              <w:rPr>
                <w:b w:val="0"/>
                <w:color w:val="000000"/>
                <w:sz w:val="19"/>
              </w:rPr>
              <w:t>2025-10-03</w:t>
            </w:r>
          </w:p>
        </w:tc>
        <w:tc>
          <w:tcPr>
            <w:tcW w:type="dxa" w:w="3253"/>
            <w:vAlign w:val="center"/>
            <w:tcMar>
              <w:top w:w="75" w:type="dxa"/>
              <w:bottom w:w="75" w:type="dxa"/>
              <w:left w:w="90" w:type="dxa"/>
              <w:right w:w="90" w:type="dxa"/>
            </w:tcMar>
          </w:tcPr>
          <w:p>
            <w:pPr>
              <w:keepNext w:val="0"/>
              <w:widowControl/>
              <w:spacing w:before="0" w:after="20" w:line="240" w:lineRule="auto"/>
            </w:pPr>
            <w:r>
              <w:rPr>
                <w:b w:val="0"/>
                <w:color w:val="000000"/>
                <w:sz w:val="19"/>
              </w:rPr>
              <w:t>Incorporación y cierre del ticket TCK-2025-0419.</w:t>
            </w:r>
          </w:p>
        </w:tc>
      </w:tr>
    </w:tbl>
    <w:p>
      <w:pPr>
        <w:spacing w:after="20" w:before="0" w:line="240" w:lineRule="auto"/>
      </w:pPr>
      <w:r>
        <w:rPr>
          <w:sz w:val="4"/>
        </w:rPr>
      </w:r>
    </w:p>
    <w:sectPr w:rsidR="00FC693F" w:rsidRPr="0006063C" w:rsidSect="00034616">
      <w:headerReference w:type="default" r:id="rId9"/>
      <w:footerReference w:type="default" r:id="rId10"/>
      <w:pgSz w:w="12240" w:h="15840"/>
      <w:pgMar w:top="950" w:right="1037" w:bottom="965" w:left="1037" w:header="374"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erif" w:hAnsi="Liberation Serif"/>
        <w:color w:val="505050"/>
        <w:sz w:val="16"/>
      </w:rPr>
      <w:t xml:space="preserve">Expediente ficticio para pruebas  |  CC-RG-03 r02  |  </w:t>
    </w:r>
    <w:r>
      <w:rPr>
        <w:rFonts w:ascii="Liberation Serif" w:hAnsi="Liberation Serif"/>
        <w:color w:val="505050"/>
        <w:sz w:val="16"/>
      </w:rPr>
    </w:r>
    <w:fldSimple w:instr="PAGE">
      <w:r>
        <w:rPr>
          <w:rFonts w:ascii="Liberation Sans" w:hAnsi="Liberation Sans"/>
          <w:sz w:val="16"/>
          <w:color w:val="505050"/>
        </w:rPr>
        <w:t>1</w:t>
      </w:r>
    </w:fldSimple>
    <w:r>
      <w:rPr>
        <w:rFonts w:ascii="Liberation Serif" w:hAnsi="Liberation Serif"/>
        <w:color w:val="505050"/>
        <w:sz w:val="16"/>
      </w:rPr>
      <w:t xml:space="preserve"> / </w:t>
    </w:r>
    <w:r>
      <w:rPr>
        <w:rFonts w:ascii="Liberation Serif" w:hAnsi="Liberation Serif"/>
        <w:color w:val="505050"/>
        <w:sz w:val="16"/>
      </w:rPr>
    </w:r>
    <w:fldSimple w:instr="NUMPAGES">
      <w:r>
        <w:rPr>
          <w:rFonts w:ascii="Liberation Sans" w:hAnsi="Liberation Sans"/>
          <w:sz w:val="16"/>
          <w:color w:val="505050"/>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Liberation Serif" w:hAnsi="Liberation Serif"/>
        <w:color w:val="000000"/>
        <w:sz w:val="16"/>
      </w:rPr>
      <w:t>COMPANY CO S.A.S.    SISTEMA DE GESTIÓN DE LA CALIDAD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54" w:lineRule="auto"/>
    </w:pPr>
    <w:rPr>
      <w:rFonts w:ascii="Liberation Serif" w:hAnsi="Liberation Serif" w:eastAsia="Liberation Serif"/>
      <w:color w:val="000000"/>
      <w:sz w:val="21"/>
      <w:lang w:val="es-CO"/>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Liberation Serif" w:hAnsi="Liberation Serif" w:eastAsia="Liberation Serif"/>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Liberation Serif" w:hAnsi="Liberation Serif" w:eastAsia="Liberation Serif"/>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Liberation Serif" w:hAnsi="Liberation Serif" w:eastAsia="Liberation Serif"/>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Liberation Serif" w:hAnsi="Liberation Serif" w:eastAsia="Liberation Serif"/>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Liberation Serif" w:hAnsi="Liberation Serif" w:eastAsia="Liberation Serif"/>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Liberation Serif" w:hAnsi="Liberation Serif" w:eastAsia="Liberation Serif"/>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Liberation Serif" w:hAnsi="Liberation Serif" w:eastAsia="Liberation Serif"/>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rPr>
      <w:rFonts w:ascii="Liberation Serif" w:hAnsi="Liberation Serif" w:eastAsia="Liberation Serif"/>
      <w:color w:val="000000"/>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Liberation Serif" w:hAnsi="Liberation Serif" w:eastAsia="Liberation Serif"/>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Montaje liberación y posventa PRJ 005</dc:title>
  <dc:subject>Conjunto sintético de pruebas de importación documental</dc:subject>
  <dc:creator>Company Co - escenario ficticio</dc:creator>
  <cp:keywords>Company Co; SGC; simulación; ISO 9001; 2025</cp:keywords>
  <dc:description>generated by python-docx</dc:description>
  <cp:lastModifiedBy/>
  <cp:revision>1</cp:revision>
  <dcterms:created xsi:type="dcterms:W3CDTF">2026-10-23T12:00:00Z</dcterms:created>
  <dcterms:modified xsi:type="dcterms:W3CDTF">2026-10-23T12:00:00Z</dcterms:modified>
  <cp:category/>
</cp:coreProperties>
</file>