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interna y seguimiento de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CC-RG-04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2025-12-18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Seguimiento abierto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Registro diligenciado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El registro contiene la auditoría interna realizada del 10 al 12 de noviembre de 2025 y su seguimiento al 18 de diciembre. Se evaluaron muestras de documentos y actuaciones; los resultados se limitan a esas muestras y no constituyen una certificación.</w:t>
      </w:r>
    </w:p>
    <w:p>
      <w:r>
        <w:rPr>
          <w:sz w:val="18"/>
        </w:rPr>
        <w:t>Referencia temática ISO 9001:2015: 9.2, 10.2, 7.5.</w:t>
      </w:r>
    </w:p>
    <w:p>
      <w:pPr>
        <w:pStyle w:val="Heading1"/>
      </w:pPr>
      <w:r>
        <w:t>Programa alcance y equipo auditor</w:t>
      </w:r>
    </w:p>
    <w:p>
      <w:r>
        <w:t>Esta auditoría del programa anual cubre Gestión documental, Compras, Inventarios, Montaje, Tecnología y Talento humano, con prioridad en trazabilidad de equipos y transferencia de cambios. Natalia Escobar coordina el equipo; Santiago Robledo revisa documentación de Montaje y Clara Ramírez revisa la evidencia administrativa de Compras. Cada integrante se abstiene de evaluar sus propias actuaciones.</w:t>
      </w:r>
    </w:p>
    <w:p>
      <w:r>
        <w:t>Ricardo facilita el acceso y consolida acciones, pero no audita el proceso del que es dueño. El criterio incluye CC-PR-03, los procedimientos aplicables y los compromisos internos vigentes del periodo. La revisión se hizo con entrevistas, lectura de registros y seguimiento de un proyecto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Actividad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Muestra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2025-11-10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Apertura y control de documentos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Listado maestro y copias de uso en Bogotá y Cali.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2025-11-11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Compras e instalación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PRJ-005; PO-2025-084; trazabilidad ESP-CC-25117 y MOL-CC-25118.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2025-11-12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Competencia y cierre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Dos acciones formativas; control de equipos; reunión con responsables.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Fuentes consultadas</w:t>
      </w:r>
    </w:p>
    <w:p>
      <w:r>
        <w:t>Se consultaron las revisiones disponibles a la fecha de CC-RG-01 a CC-RG-03, CC-RG-05 y las caracterizaciones de los procesos muestreados; el expediente de seguimiento incorpora actualizaciones posteriores sin cambiar la fecha de la auditoría. La hoja de preparación del auditor consigna CC-PR-01 revisión 02 como referencia de control documental. Los resultados conservan esa anotación tal como quedó en el registro de preparación.</w:t>
      </w:r>
    </w:p>
    <w:p>
      <w:r>
        <w:t>La auditoría confirmó en el proyecto muestreado la existencia de revisión de requisitos, cambio de diseño y vínculo entre serie recibida e instalada. La coincidencia de ese expediente no se extrapola a todas las compras del año.</w:t>
      </w:r>
    </w:p>
    <w:p>
      <w:pPr>
        <w:pStyle w:val="Heading1"/>
      </w:pPr>
      <w:r>
        <w:t>Hallazgos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Hecho y evidencia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Clasificación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NC-2025-011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En la carpeta de uso de Montaje se encontró una copia del diseño D-PRJ005-02 junto a la revisión 03. El registro de difusión no incluía confirmación de retiro en esa ubicación.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No conformidad documental.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NC-2025-012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La formación de Inventarios del 2025-10-22 carece de validación documentada de eficacia al 2025-11-12. Existe asistencia, pero no demuestra aplicación autónoma de la tarea.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No conformidad de evidencia de competencia.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OM-2025-004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El equipo propuso unificar la búsqueda por serie para evitar consultas duplicadas entre Inventarios y Posventa.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Oportunidad de mejora; evaluación de viabilidad.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Acción AC 2025 018 por NC 2025 011</w:t>
      </w:r>
    </w:p>
    <w:p>
      <w:r>
        <w:t>Óscar retiró la copia superada el 2025-11-13 y confirmó que la instalación ejecutada correspondía a la revisión 03. La revisión retrospectiva de PRJ-005 no detectó una diferencia del producto entregado. La corrección documental y la comprobación técnica quedaron registradas por separado.</w:t>
      </w:r>
    </w:p>
    <w:p>
      <w:r>
        <w:t>La causa identificada fue que la lista de distribución incluía responsables, pero no todas las ubicaciones de copia. Santiago agregó el campo de ubicación y un comprobante de retiro; Óscar verificó las carpetas de trabajo de los proyectos activos. No se atribuyó la causa solo a olvido del colaborador.</w:t>
      </w:r>
    </w:p>
    <w:p>
      <w:r>
        <w:t>El 2025-12-05 Natalia revisó tres paquetes liberados después del cambio y verificó una sola revisión operativa en cada ubicación. Se encontró evidencia de retiro y de acceso a la copia vigente. Se declara eficaz para la muestra revisada; Ricardo cerró AC-2025-018 el 2025-12-09.</w:t>
      </w:r>
    </w:p>
    <w:p>
      <w:pPr>
        <w:pStyle w:val="Heading1"/>
      </w:pPr>
      <w:r>
        <w:t>Acción AC 2025 019 por NC 2025 012</w:t>
      </w:r>
    </w:p>
    <w:p>
      <w:r>
        <w:t>Clara Ramírez identificó que la convocatoria de formación cerraba con asistencia y encuesta, sin asignar a un supervisor la observación posterior. Paola Cárdenas acordó acompañar la verificación práctica y conservar el resultado por participante. Hasta entonces, los participantes afectados realizan la tarea de conciliación bajo supervisión.</w:t>
      </w:r>
    </w:p>
    <w:p>
      <w:r>
        <w:t>El formulario de seguimiento ya incorpora responsable y fecha de verificación. La eficacia de la acción sigue pendiente porque la observación del segundo turno se programó para el 2026-01-09. La asistencia al curso no se acepta como sustituto de esa observación.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Responsables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Clara Ramírez coordina; Paola Cárdenas verifica desempeño.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objetivo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2026-01-15.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Estado al 2025-12-18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Abierta; corrección implantada y eficacia pendiente.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de cierre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Evidencia pendiente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Observación del segundo turno y revisión de resultados por Ricardo Muñoz.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Conclusiones y comunicación</w:t>
      </w:r>
    </w:p>
    <w:p>
      <w:r>
        <w:t>La auditoría identifica dos no conformidades y una oportunidad. Al corte de seguimiento, una acción está cerrada y otra permanece abierta. Dirección recibió el estado y la necesidad de conservar tiempo de supervisión durante enero.</w:t>
      </w:r>
    </w:p>
    <w:p>
      <w:r>
        <w:t>No se propone suspender toda la operación: la restricción se aplica a la ejecución autónoma de la tarea aún no validada. Ricardo informa cualquier repetición o vencimiento a Dirección y lleva los resultados a CC-AC-01. La acción abierta no se elimina del seguimiento al comenzar el nuevo año.</w:t>
      </w:r>
    </w:p>
    <w:p>
      <w:pPr>
        <w:pStyle w:val="Heading1"/>
      </w:pPr>
      <w:r>
        <w:t>Documentos relacionados</w:t>
      </w:r>
    </w:p>
    <w:p>
      <w:r>
        <w:t>CC-PR-01 | CC-PR-03 | CC-PR-04 | CC-RG-01 | CC-RG-02 | CC-RG-03 | CC-RG-05 | CC-AC-01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2025-11-12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Informe de auditoría y apertura de hallazgos.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2025-12-18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Seguimiento de acciones con una verificación de eficacia pendiente.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505050"/>
        <w:sz w:val="16"/>
      </w:rPr>
      <w:t xml:space="preserve">Expediente ficticio para pruebas  |  CC-RG-04 r02  |  </w:t>
    </w:r>
    <w:r>
      <w:rPr>
        <w:rFonts w:ascii="Liberation Serif" w:hAnsi="Liberation Serif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erif" w:hAnsi="Liberation Serif"/>
        <w:color w:val="505050"/>
        <w:sz w:val="16"/>
      </w:rPr>
      <w:t xml:space="preserve"> / </w:t>
    </w:r>
    <w:r>
      <w:rPr>
        <w:rFonts w:ascii="Liberation Serif" w:hAnsi="Liberation Serif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erif" w:hAnsi="Liberation Serif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erif" w:hAnsi="Liberation Serif" w:eastAsia="Liberation Serif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erif" w:hAnsi="Liberation Serif" w:eastAsia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Liberation Serif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interna y seguimiento de acciones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