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Formación y equipos de seguimiento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CC-RG-05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2025-12-18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Registro diligenciado | Talento humano y Calidad</w:t>
      </w:r>
    </w:p>
    <w:p>
      <w:pPr>
        <w:spacing w:after="60"/>
      </w:pPr>
      <w:r>
        <w:rPr>
          <w:b/>
        </w:rPr>
        <w:t xml:space="preserve">Responsable: </w:t>
      </w:r>
      <w:r>
        <w:t>Clara Ramírez y Ricardo Muñoz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Se conservan ejemplos de formación, evaluación de competencia y control de instrumentos utilizados para revisar servicios. Las tablas corresponden a una muestra de actividad del periodo; no son el registro completo de los 200 empleados.</w:t>
      </w:r>
    </w:p>
    <w:p>
      <w:r>
        <w:rPr>
          <w:sz w:val="18"/>
        </w:rPr>
        <w:t>Referencia temática ISO 9001:2015: 7.1.5, 7.2, 7.3, 7.1.6.</w:t>
      </w:r>
    </w:p>
    <w:p>
      <w:pPr>
        <w:pStyle w:val="Heading1"/>
      </w:pPr>
      <w:r>
        <w:t>Responsabilidad y cobertura</w:t>
      </w:r>
    </w:p>
    <w:p>
      <w:r>
        <w:t>Camila Duarte figura como titular inactiva de Talento humano en la relación de personal. Clara Ramírez, EMP-020, ejecuta la coordinación operativa por delegación DG-2025-017. Los supervisores conservan la responsabilidad de comprobar la aplicación de lo aprendido y de limitar tareas cuando la evidencia no es suficiente.</w:t>
      </w:r>
    </w:p>
    <w:p>
      <w:r>
        <w:t>El programa incluye inducción, transferencia de cambios de diseño, trazabilidad de series y tratamiento de reclamaciones. Cada actividad deja asistencia, evaluación y, cuando procede, observación posterior. La matriz completa del personal se administra en el proceso CC-CP-03; aquí se muestra el seguimiento de casos concretos.</w:t>
      </w:r>
    </w:p>
    <w:p>
      <w:pPr>
        <w:pStyle w:val="Heading1"/>
      </w:pPr>
      <w:r>
        <w:t>Actividades de formación realizadas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Actividad y fecha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Participantes de la muestra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TR-2025-031; 2025-09-17; operación y cuidado de equipo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Dos operarios designados por CUS-003; facilitador Óscar Benítez.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Demostración de arranque, limpieza diaria y avisos. Ambos cumplen lista de uso inicial.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TR-2025-038; 2025-10-08; gestión de reclamaciones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Mariana León y dos colaboradores de Servicio al cliente.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Tres casos resueltos correctamente en ejercicio; seguimiento de tickets programado.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TR-2025-042; 2025-10-22; conciliación de series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Paola Cárdenas y cuatro colaboradores de Inventarios.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Asistencia 5 de 5; ejercicio escrito 4 de 5 satisfactorio. Aplicación práctica pendiente para parte del grupo.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TR-2025-046; 2025-11-20; retiro de versiones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Óscar Benítez y responsables de paquetes de Montaje.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Demostración de consulta y retiro; verificación posterior relacionada con AC-2025-018.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Verificación de eficacia de TR 2025 042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50"/>
        <w:gridCol w:w="7116"/>
      </w:tblGrid>
      <w:tr>
        <w:trPr>
          <w:tblHeader w:val="true"/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Campo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Registro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Tarea observada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Conciliar una serie física con reserva de proyecto y registro de inventario.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Criterio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Cinco casos consecutivos sin discrepancia no explicada y escalamiento correcto de una excepción.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Responsable previsto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Paola Cárdenas.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Fecha prevista inicial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2025-11-07.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Fecha de revisión del seguimiento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2025-12-18.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Validó eficacia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Condición de trabajo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Conciliación del segundo turno bajo supervisión hasta completar la observación.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Reprogramación</w:t>
            </w:r>
          </w:p>
        </w:tc>
        <w:tc>
          <w:tcPr>
            <w:tcW w:type="dxa" w:w="71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2026-01-09; seguimiento mediante AC-2025-019 en CC-RG-04.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Conocimiento transferido al servicio</w:t>
      </w:r>
    </w:p>
    <w:p>
      <w:r>
        <w:t>Del ticket TCK-2025-0419 se incorporó una explicación sobre cambio de mezcla y ajuste del molino a la formación de cierre de proyecto. Andrés Molina revisa el contenido con Montaje; Mariana confirma que soporte utiliza la misma orientación. El cambio se conserva como lección de servicio y no se usa para atribuir al cliente toda la responsabilidad de la incidencia.</w:t>
      </w:r>
    </w:p>
    <w:p>
      <w:r>
        <w:t>Los materiales externos de fabricante son referencias controladas, no anexos incluidos en este conjunto. Si una nueva revisión modifica un criterio de intervención, Ricardo determina el alcance y Clara organiza la actualización de los colaboradores afectados.</w:t>
      </w:r>
    </w:p>
    <w:p>
      <w:pPr>
        <w:pStyle w:val="Heading1"/>
      </w:pPr>
      <w:r>
        <w:t>Equipos de seguimiento y medición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Identificación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Uso y comprobación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Estado al corte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EQ-BC-07; balanza de control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Verificar porciones durante ajuste. Revisión externa registrada 2025-07-08; próximo control 2026-07-08.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Apta; comprobación previa de cero y estabilidad.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EQ-TM-03; termómetro portátil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Comprobaciones de temperatura cuando el procedimiento de servicio lo requiere. Control registrado 2025-03-12; próximo 2026-03-12.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Apto; revisar integridad y condición antes de uso.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EQ-MM-02; multímetro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Comprobación por personal competente. Vencimiento de control 2025-10-31.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Retirado desde 2025-11-03; etiqueta NO USAR; reposición temporal por EQ-MM-04.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EQ-MM-04; multímetro de respaldo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Control registrado 2025-08-19; próximo 2026-08-19.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Apto; asignado a equipo de Montaje.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Tratamiento de EQ MM 02</w:t>
      </w:r>
    </w:p>
    <w:p>
      <w:r>
        <w:t>El 2025-11-03 Óscar detectó el vencimiento de EQ-MM-02 durante la revisión de salida. Lo retiró y avisó a Ricardo. Se identificaron dos órdenes del 2025-11-01 en las que pudo haberse utilizado el instrumento. Montaje repitió las comprobaciones con EQ-MM-04 el 2025-11-04; no encontró resultados fuera de criterio y registró el cierre de esas verificaciones.</w:t>
      </w:r>
    </w:p>
    <w:p>
      <w:r>
        <w:t>La revisión del impacto cubrió los resultados previos afectados, no solo el instrumento. EQ-MM-02 permanece bloqueado al corte; no se presenta como vigente por tener una revisión solicitada. El próximo uso depende de evaluación, control satisfactorio y liberación documentada.</w:t>
      </w:r>
    </w:p>
    <w:p>
      <w:r>
        <w:t>Las fechas y resultados anteriores son asientos internos de este expediente. Los certificados del proveedor de calibración y las órdenes originales no se adjuntan en este lote; no se inventa un número de acreditación o un certificado de laboratorio.</w:t>
      </w:r>
    </w:p>
    <w:p>
      <w:pPr>
        <w:pStyle w:val="Heading1"/>
      </w:pPr>
      <w:r>
        <w:t>Seguimiento y conservación</w:t>
      </w:r>
    </w:p>
    <w:p>
      <w:r>
        <w:t>Ricardo consolida mensualmente los vencimientos próximos y las incidencias que puedan afectar resultados de servicio. Clara conserva la relación entre necesidad, actividad, participante y verificación. La Dirección revisa la asignación de tiempo y recursos cuando una acción depende de capacitación o sustitución de equipo.</w:t>
      </w:r>
    </w:p>
    <w:p>
      <w:r>
        <w:t>La conservación de estos ejemplos sigue CC-PR-01. Una celda pendiente se mantiene vacía hasta recibir evidencia; nadie debe completarla por inferencia a partir de una asistencia o de un correo de convocatoria.</w:t>
      </w:r>
    </w:p>
    <w:p>
      <w:pPr>
        <w:pStyle w:val="Heading1"/>
      </w:pPr>
      <w:r>
        <w:t>Documentos relacionados</w:t>
      </w:r>
    </w:p>
    <w:p>
      <w:r>
        <w:t>CC-CP-03 | CC-CP-12 | CC-CP-16 | CC-PR-01 | CC-PR-05 | CC-RG-03 | CC-RG-04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8E8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01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2025-09-17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Registro inicial de formación vinculada a PRJ-005.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02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2025-11-04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Actualización de formación y tratamiento del equipo vencido.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03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2025-12-18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Seguimiento de eficacia pendiente y estado de equipos.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erif" w:hAnsi="Liberation Serif"/>
        <w:color w:val="505050"/>
        <w:sz w:val="16"/>
      </w:rPr>
      <w:t xml:space="preserve">Expediente ficticio para pruebas  |  CC-RG-05 r03  |  </w:t>
    </w:r>
    <w:r>
      <w:rPr>
        <w:rFonts w:ascii="Liberation Serif" w:hAnsi="Liberation Serif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erif" w:hAnsi="Liberation Serif"/>
        <w:color w:val="505050"/>
        <w:sz w:val="16"/>
      </w:rPr>
      <w:t xml:space="preserve"> / </w:t>
    </w:r>
    <w:r>
      <w:rPr>
        <w:rFonts w:ascii="Liberation Serif" w:hAnsi="Liberation Serif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erif" w:hAnsi="Liberation Serif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erif" w:hAnsi="Liberation Serif" w:eastAsia="Liberation Serif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erif" w:hAnsi="Liberation Serif" w:eastAsia="Liberation Serif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erif" w:hAnsi="Liberation Serif" w:eastAsia="Liberation Serif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erif" w:hAnsi="Liberation Serif" w:eastAsia="Liberation Serif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erif" w:hAnsi="Liberation Serif" w:eastAsia="Liberation Serif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erif" w:hAnsi="Liberation Serif" w:eastAsia="Liberation Serif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erif" w:hAnsi="Liberation Serif" w:eastAsia="Liberation Serif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erif" w:hAnsi="Liberation Serif" w:eastAsia="Liberation Serif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Formación y equipos de seguimiento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