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Expediente del sistema de calidad de Company Co</w:t>
      </w:r>
    </w:p>
    <w:p>
      <w:pPr>
        <w:pStyle w:val="Subtitle"/>
      </w:pPr>
      <w:r>
        <w:t>Documentos de operación del ciclo 2025</w:t>
      </w:r>
    </w:p>
    <w:p>
      <w:r>
        <w:t>Este volumen reúne 35 documentos: manual, matrices, organización, 17 procesos, cinco procedimientos, cinco expedientes diligenciados, dos formatos, revisión por la dirección y listado maestro. Conserva la identificación y revisión de cada documento para facilitar la consulta.</w:t>
      </w:r>
    </w:p>
    <w:p>
      <w:r>
        <w:t>Escenario empresarial ficticio para probar un importador. Referencia histórica: ISO 9001:2015 con enmienda 2024. No representa una certificación ni evidencia de actividades de una empresa real.</w:t>
      </w:r>
    </w:p>
    <w:p>
      <w:pPr>
        <w:pStyle w:val="Heading1"/>
      </w:pPr>
      <w:r>
        <w:t>Índice de documentos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43"/>
        <w:gridCol w:w="4270"/>
        <w:gridCol w:w="3253"/>
      </w:tblGrid>
      <w:tr>
        <w:trPr>
          <w:tblHeader w:val="true"/>
          <w:cantSplit/>
        </w:trPr>
        <w:tc>
          <w:tcPr>
            <w:tcW w:type="dxa" w:w="264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Código</w:t>
            </w:r>
          </w:p>
        </w:tc>
        <w:tc>
          <w:tcPr>
            <w:tcW w:type="dxa" w:w="427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Documento</w:t>
            </w:r>
          </w:p>
        </w:tc>
        <w:tc>
          <w:tcPr>
            <w:tcW w:type="dxa" w:w="325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Revisión</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CC-MC-01</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Manual del sistema de gestión de la calidad</w:t>
            </w:r>
          </w:p>
        </w:tc>
        <w:tc>
          <w:tcPr>
            <w:tcW w:type="dxa" w:w="3253"/>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04</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CC-MT-01</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Contexto partes interesadas riesgos y oportunidades</w:t>
            </w:r>
          </w:p>
        </w:tc>
        <w:tc>
          <w:tcPr>
            <w:tcW w:type="dxa" w:w="3253"/>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03</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CC-MT-02</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Objetivos e indicadores de calidad</w:t>
            </w:r>
          </w:p>
        </w:tc>
        <w:tc>
          <w:tcPr>
            <w:tcW w:type="dxa" w:w="3253"/>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02</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CC-AN-01</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Organización sedes y personal de referencia</w:t>
            </w:r>
          </w:p>
        </w:tc>
        <w:tc>
          <w:tcPr>
            <w:tcW w:type="dxa" w:w="3253"/>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01</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CC-CP-01</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Dirección y gestión del sistema de calidad</w:t>
            </w:r>
          </w:p>
        </w:tc>
        <w:tc>
          <w:tcPr>
            <w:tcW w:type="dxa" w:w="3253"/>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04</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CC-CP-02</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Gestión financiera facturación y cartera</w:t>
            </w:r>
          </w:p>
        </w:tc>
        <w:tc>
          <w:tcPr>
            <w:tcW w:type="dxa" w:w="3253"/>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03</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CC-CP-03</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Gestión de personas competencia y conocimiento</w:t>
            </w:r>
          </w:p>
        </w:tc>
        <w:tc>
          <w:tcPr>
            <w:tcW w:type="dxa" w:w="3253"/>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05</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CC-CP-04</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Consultoría para proyectos de cafeterías</w:t>
            </w:r>
          </w:p>
        </w:tc>
        <w:tc>
          <w:tcPr>
            <w:tcW w:type="dxa" w:w="3253"/>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03</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CC-CP-05</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Venta en tiendas y atención comercial B2C</w:t>
            </w:r>
          </w:p>
        </w:tc>
        <w:tc>
          <w:tcPr>
            <w:tcW w:type="dxa" w:w="3253"/>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04</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CC-CP-06</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Venta consultiva y contratación B2B</w:t>
            </w:r>
          </w:p>
        </w:tc>
        <w:tc>
          <w:tcPr>
            <w:tcW w:type="dxa" w:w="3253"/>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05</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CC-CP-07</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Marketing y comunicación de la oferta</w:t>
            </w:r>
          </w:p>
        </w:tc>
        <w:tc>
          <w:tcPr>
            <w:tcW w:type="dxa" w:w="3253"/>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02</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CC-CP-08</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Operación de comercio electrónico</w:t>
            </w:r>
          </w:p>
        </w:tc>
        <w:tc>
          <w:tcPr>
            <w:tcW w:type="dxa" w:w="3253"/>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04</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CC-CP-09</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Compras y desarrollo de proveedores</w:t>
            </w:r>
          </w:p>
        </w:tc>
        <w:tc>
          <w:tcPr>
            <w:tcW w:type="dxa" w:w="3253"/>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06</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CC-CP-10</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Despacho transporte y entrega</w:t>
            </w:r>
          </w:p>
        </w:tc>
        <w:tc>
          <w:tcPr>
            <w:tcW w:type="dxa" w:w="3253"/>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04</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CC-CP-11</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Recepción almacenamiento y control de inventario</w:t>
            </w:r>
          </w:p>
        </w:tc>
        <w:tc>
          <w:tcPr>
            <w:tcW w:type="dxa" w:w="3253"/>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05</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CC-CP-12</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Montaje puesta en servicio y entrega técnica</w:t>
            </w:r>
          </w:p>
        </w:tc>
        <w:tc>
          <w:tcPr>
            <w:tcW w:type="dxa" w:w="3253"/>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04</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CC-CP-13</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Atención al cliente y gestión de solicitudes</w:t>
            </w:r>
          </w:p>
        </w:tc>
        <w:tc>
          <w:tcPr>
            <w:tcW w:type="dxa" w:w="3253"/>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03</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CC-CP-14</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Tecnología continuidad y control de información</w:t>
            </w:r>
          </w:p>
        </w:tc>
        <w:tc>
          <w:tcPr>
            <w:tcW w:type="dxa" w:w="3253"/>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03</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CC-CP-15</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Diseño de espacios y soluciones para cafeterías</w:t>
            </w:r>
          </w:p>
        </w:tc>
        <w:tc>
          <w:tcPr>
            <w:tcW w:type="dxa" w:w="3253"/>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05</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CC-CP-16</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Aseguramiento de calidad y servicio de posventa</w:t>
            </w:r>
          </w:p>
        </w:tc>
        <w:tc>
          <w:tcPr>
            <w:tcW w:type="dxa" w:w="3253"/>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04</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CC-CP-17</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Gestión contractual y seguimiento de compromisos</w:t>
            </w:r>
          </w:p>
        </w:tc>
        <w:tc>
          <w:tcPr>
            <w:tcW w:type="dxa" w:w="3253"/>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02</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CC-PR-01</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Control de documentos y registros</w:t>
            </w:r>
          </w:p>
        </w:tc>
        <w:tc>
          <w:tcPr>
            <w:tcW w:type="dxa" w:w="3253"/>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03</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CC-PR-02</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Gestión de riesgos oportunidades y cambios</w:t>
            </w:r>
          </w:p>
        </w:tc>
        <w:tc>
          <w:tcPr>
            <w:tcW w:type="dxa" w:w="3253"/>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02</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CC-PR-03</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Auditoría interna del sistema de calidad</w:t>
            </w:r>
          </w:p>
        </w:tc>
        <w:tc>
          <w:tcPr>
            <w:tcW w:type="dxa" w:w="3253"/>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02</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CC-PR-04</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Salidas no conformes y acciones correctivas</w:t>
            </w:r>
          </w:p>
        </w:tc>
        <w:tc>
          <w:tcPr>
            <w:tcW w:type="dxa" w:w="3253"/>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03</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CC-PR-05</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Competencia formación y conocimiento operativo</w:t>
            </w:r>
          </w:p>
        </w:tc>
        <w:tc>
          <w:tcPr>
            <w:tcW w:type="dxa" w:w="3253"/>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02</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CC-RG-01</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Expediente comercial y de diseño PRJ 005</w:t>
            </w:r>
          </w:p>
        </w:tc>
        <w:tc>
          <w:tcPr>
            <w:tcW w:type="dxa" w:w="3253"/>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02</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CC-RG-02</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Compras recepción y entrega PRJ 005</w:t>
            </w:r>
          </w:p>
        </w:tc>
        <w:tc>
          <w:tcPr>
            <w:tcW w:type="dxa" w:w="3253"/>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01</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CC-RG-03</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Montaje liberación y posventa PRJ 005</w:t>
            </w:r>
          </w:p>
        </w:tc>
        <w:tc>
          <w:tcPr>
            <w:tcW w:type="dxa" w:w="3253"/>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02</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CC-RG-04</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Auditoría interna y seguimiento de acciones</w:t>
            </w:r>
          </w:p>
        </w:tc>
        <w:tc>
          <w:tcPr>
            <w:tcW w:type="dxa" w:w="3253"/>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02</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CC-RG-05</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Formación y equipos de seguimiento</w:t>
            </w:r>
          </w:p>
        </w:tc>
        <w:tc>
          <w:tcPr>
            <w:tcW w:type="dxa" w:w="3253"/>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03</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CC-FO-01</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Solicitud de cambio y liberación</w:t>
            </w:r>
          </w:p>
        </w:tc>
        <w:tc>
          <w:tcPr>
            <w:tcW w:type="dxa" w:w="3253"/>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03</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CC-FO-02</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Reporte de no conformidad</w:t>
            </w:r>
          </w:p>
        </w:tc>
        <w:tc>
          <w:tcPr>
            <w:tcW w:type="dxa" w:w="3253"/>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04</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CC-AC-01</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Revisión por la dirección diciembre 2025</w:t>
            </w:r>
          </w:p>
        </w:tc>
        <w:tc>
          <w:tcPr>
            <w:tcW w:type="dxa" w:w="3253"/>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01</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CC-LM-01</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Listado maestro de documentos y registros</w:t>
            </w:r>
          </w:p>
        </w:tc>
        <w:tc>
          <w:tcPr>
            <w:tcW w:type="dxa" w:w="3253"/>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01</w:t>
            </w:r>
          </w:p>
        </w:tc>
      </w:tr>
    </w:tbl>
    <w:p>
      <w:pPr>
        <w:spacing w:after="20" w:before="0" w:line="240" w:lineRule="auto"/>
      </w:pPr>
      <w:r>
        <w:rPr>
          <w:sz w:val="4"/>
        </w:rPr>
      </w:r>
    </w:p>
    <w:p>
      <w:r>
        <w:br w:type="page"/>
      </w:r>
    </w:p>
    <w:p>
      <w:pPr>
        <w:pStyle w:val="Title"/>
      </w:pPr>
      <w:r>
        <w:t>Manual del sistema de gestión de la calidad</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0"/>
        <w:gridCol w:w="2847"/>
        <w:gridCol w:w="2440"/>
        <w:gridCol w:w="2440"/>
      </w:tblGrid>
      <w:tr>
        <w:trPr>
          <w:tblHeader w:val="true"/>
          <w:cantSplit/>
        </w:trPr>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Código</w:t>
            </w:r>
          </w:p>
        </w:tc>
        <w:tc>
          <w:tcPr>
            <w:tcW w:type="dxa" w:w="2847"/>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Revisión</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Emisión</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Estado</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CC-MC-01</w:t>
            </w:r>
          </w:p>
        </w:tc>
        <w:tc>
          <w:tcPr>
            <w:tcW w:type="dxa" w:w="284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04</w:t>
            </w:r>
          </w:p>
        </w:tc>
        <w:tc>
          <w:tcPr>
            <w:tcW w:type="dxa" w:w="2440"/>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2025-07-01</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Vigente</w:t>
            </w:r>
          </w:p>
        </w:tc>
      </w:tr>
    </w:tbl>
    <w:p>
      <w:pPr>
        <w:spacing w:after="20" w:before="0" w:line="240" w:lineRule="auto"/>
      </w:pPr>
      <w:r>
        <w:rPr>
          <w:sz w:val="4"/>
        </w:rPr>
      </w:r>
    </w:p>
    <w:p>
      <w:pPr>
        <w:spacing w:after="60"/>
      </w:pPr>
      <w:r>
        <w:rPr>
          <w:b/>
        </w:rPr>
        <w:t xml:space="preserve">Tipo y área: </w:t>
      </w:r>
      <w:r>
        <w:t>Manual | Dirección general</w:t>
      </w:r>
    </w:p>
    <w:p>
      <w:pPr>
        <w:spacing w:after="60"/>
      </w:pPr>
      <w:r>
        <w:rPr>
          <w:b/>
        </w:rPr>
        <w:t xml:space="preserve">Responsable: </w:t>
      </w:r>
      <w:r>
        <w:t>Valentina Ríos</w:t>
      </w:r>
    </w:p>
    <w:p>
      <w:pPr>
        <w:spacing w:after="60"/>
      </w:pPr>
      <w:r>
        <w:rPr>
          <w:b/>
        </w:rPr>
        <w:t xml:space="preserve">Aprobación interna: </w:t>
      </w:r>
      <w:r>
        <w:t>Valentina Ríos</w:t>
      </w:r>
    </w:p>
    <w:p>
      <w:pPr>
        <w:spacing w:before="100"/>
      </w:pPr>
      <w:r>
        <w:t>Este manual describe cómo Company Co planifica, realiza, controla y mejora sus servicios y ventas. Define el alcance del sistema, las responsabilidades y la relación entre los procesos y sus registros.</w:t>
      </w:r>
    </w:p>
    <w:p>
      <w:r>
        <w:rPr>
          <w:sz w:val="18"/>
        </w:rPr>
        <w:t>Referencia temática ISO 9001:2015: 4, 5, 6, 7, 8, 9, 10.</w:t>
      </w:r>
    </w:p>
    <w:p>
      <w:pPr>
        <w:pStyle w:val="Heading1"/>
      </w:pPr>
      <w:r>
        <w:t>Empresa y alcance</w:t>
      </w:r>
    </w:p>
    <w:p>
      <w:r>
        <w:t>Company Co S.A.S. acompaña a negocios de cafetería en Colombia desde la evaluación de viabilidad y el diseño del espacio hasta el suministro, montaje, puesta en marcha, capacitación y mantenimiento. También comercializa equipos, mobiliario, café e insumos por sus showrooms y canal electrónico. El sistema comprende los servicios B2B y la venta B2C, incluidos los trabajos contratados a terceros que puedan afectar la conformidad del servicio.</w:t>
      </w:r>
    </w:p>
    <w:p>
      <w:r>
        <w:t>La compañía tiene 200 empleados distribuidos en 17 departamentos. La sede administrativa de Bogotá ocupa 1.100 m²; el showroom de Bogotá, 650 m²; la bodega de Bogotá, 2.400 m²; el showroom de Medellín, 350 m²; y el de Cali, 300 m². El área total es 4.800 m². La moneda de gestión es COP, el idioma de trabajo es español y el registro horario usa America/Bogota.</w:t>
      </w:r>
    </w:p>
    <w:p>
      <w:r>
        <w:t>El alcance incluye diseño de espacios, selección técnica e integración de equipos. Por ello se mantiene el control de diseño y desarrollo. Company Co no fabrica las máquinas que comercializa: controla especificaciones, proveedores, recepción, instalación y garantías. No se establece una exclusión general por tercerizar una actividad. Los requisitos de seguimiento aplican según cada producto y servicio.</w:t>
      </w:r>
    </w:p>
    <w:p>
      <w:pPr>
        <w:pStyle w:val="Heading1"/>
      </w:pPr>
      <w:r>
        <w:t>Política de calidad</w:t>
      </w:r>
    </w:p>
    <w:p>
      <w:r>
        <w:t>Nos comprometemos a entregar soluciones para cafeterías que respondan a los requisitos acordados con el cliente, con especificaciones verificadas, fechas realistas y trazabilidad de los equipos y servicios. Atendemos las reclamaciones con información clara, protegemos los bienes que recibimos y cerramos las causas de las fallas repetitivas.</w:t>
      </w:r>
    </w:p>
    <w:p>
      <w:r>
        <w:t>La dirección proporciona recursos, promueve el reporte oportuno de errores sin ocultarlos y revisa el desempeño del sistema. Cada responsable mantiene personal competente y evidencia de los controles a su cargo. Mejoramos los procesos a partir de resultados, riesgos, oportunidades, auditorías y retroalimentación. Una venta no autoriza omitir una validación técnica ni cambiar unilateralmente una condición pactada.</w:t>
      </w:r>
    </w:p>
    <w:p>
      <w:pPr>
        <w:pStyle w:val="Heading1"/>
      </w:pPr>
      <w:r>
        <w:t>Organización y autoridad</w:t>
      </w:r>
    </w:p>
    <w:p>
      <w:pPr>
        <w:pStyle w:val="ListBullet"/>
      </w:pPr>
      <w:r>
        <w:t>Valentina Ríos aprueba la política, las metas, los cambios de alcance y los recursos para acciones que excedan la autoridad del proceso. Revisa el desempeño trimestralmente y celebra una revisión integral anual.</w:t>
      </w:r>
    </w:p>
    <w:p>
      <w:pPr>
        <w:pStyle w:val="ListBullet"/>
      </w:pPr>
      <w:r>
        <w:t>Ricardo Muñoz administra la coordinación del sistema, el programa de auditorías, las no conformidades y el seguimiento de acciones. Los dueños de proceso conservan la responsabilidad por sus resultados; Calidad no reemplaza su aprobación técnica.</w:t>
      </w:r>
    </w:p>
    <w:p>
      <w:pPr>
        <w:pStyle w:val="ListBullet"/>
      </w:pPr>
      <w:r>
        <w:t>Los líderes pueden detener una entrega cuando falte una aceptación requerida, se detecte daño o no exista evidencia de conformidad. Inventarios segrega el material y Servicio al cliente informa la situación al comprador. Ningún objetivo comercial obliga a liberar un producto sin control.</w:t>
      </w:r>
    </w:p>
    <w:p>
      <w:pPr>
        <w:pStyle w:val="ListBullet"/>
      </w:pPr>
      <w:r>
        <w:t>Camila Duarte figura como titular de Talento humano en la estructura y está inactiva en el registro de personal. La delegación interna DG-2025-017 asigna la operación a Clara Ramírez EMP-020. Las decisiones de vinculación y presupuesto se elevan a Dirección.</w:t>
      </w:r>
    </w:p>
    <w:p>
      <w:pPr>
        <w:pStyle w:val="ListBullet"/>
      </w:pPr>
      <w:r>
        <w:t>Los responsables de revisión y aprobación se registran por nombre y fecha. Los nombres impresos en una copia no sustituyen la evidencia de aprobación del sistema documental.</w:t>
      </w:r>
    </w:p>
    <w:p>
      <w:pPr>
        <w:pStyle w:val="Heading1"/>
      </w:pPr>
      <w:r>
        <w:t>Mapa e interacción de procesos</w:t>
      </w:r>
    </w:p>
    <w:p>
      <w:r>
        <w:t>La dirección define prioridades y recursos. Marketing identifica demanda y publica propuestas verificadas; Ventas B2B o B2C y E-commerce revisan necesidades y compromisos. Consultoría construye la viabilidad y Diseño de espacios convierte el requerimiento en una solución aprobada. Compras obtiene los suministros; Inventarios controla su ingreso y conservación; Logística entrega lo solicitado; Montaje instala y demuestra la conformidad. Servicio al cliente y Calidad y posventa cierran el ciclo con soporte, garantías y mejoras.</w:t>
      </w:r>
    </w:p>
    <w:p>
      <w:r>
        <w:t>Finanzas, Talento humano, Tecnología y Legal y cumplimiento suministran recursos y controles transversales. Un traspaso entre áreas debe conservar el identificador de cliente, pedido o proyecto, la revisión aplicable y el criterio de aceptación. Las fichas CC-CP-01 a CC-CP-17 detallan entradas, salidas, responsables, indicadores y registros. El listado CC-LM-01 permite localizar la revisión vigente.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43"/>
        <w:gridCol w:w="4270"/>
        <w:gridCol w:w="3253"/>
      </w:tblGrid>
      <w:tr>
        <w:trPr>
          <w:tblHeader w:val="true"/>
          <w:cantSplit/>
        </w:trPr>
        <w:tc>
          <w:tcPr>
            <w:tcW w:type="dxa" w:w="264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Familia</w:t>
            </w:r>
          </w:p>
        </w:tc>
        <w:tc>
          <w:tcPr>
            <w:tcW w:type="dxa" w:w="427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Procesos</w:t>
            </w:r>
          </w:p>
        </w:tc>
        <w:tc>
          <w:tcPr>
            <w:tcW w:type="dxa" w:w="325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Salida principal</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Dirección y evaluación</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CC-CP-01 y CC-CP-16</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Prioridades, decisiones y mejora</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Mercado y relación comercial</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CC-CP-05, 06, 07, 08 y 13</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Requisitos revisados y atención trazable</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Realización B2B y suministro</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CC-CP-04, 09, 10, 11, 12 y 15</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Solución diseñada, entregada y liberada</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Apoyo</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CC-CP-02, 03, 14 y 17</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Recursos, competencia y control de información</w:t>
            </w:r>
          </w:p>
        </w:tc>
      </w:tr>
    </w:tbl>
    <w:p>
      <w:pPr>
        <w:spacing w:after="20" w:before="0" w:line="240" w:lineRule="auto"/>
      </w:pPr>
      <w:r>
        <w:rPr>
          <w:sz w:val="4"/>
        </w:rPr>
      </w:r>
    </w:p>
    <w:p>
      <w:pPr>
        <w:pStyle w:val="Heading1"/>
      </w:pPr>
      <w:r>
        <w:t>Contexto y planificación</w:t>
      </w:r>
    </w:p>
    <w:p>
      <w:r>
        <w:t>La revisión del contexto considera disponibilidad y plazo de importación de equipos, variación del costo de compra, madurez digital del personal, conservación de café e insumos y capacidad de servicio por ciudad. Se revisan necesidades de clientes, empleados, proveedores, contratistas y autoridades pertinentes. CC-MT-01 conserva riesgos, oportunidades y decisiones.</w:t>
      </w:r>
    </w:p>
    <w:p>
      <w:r>
        <w:t>El cambio climático es pertinente para la continuidad del servicio: lluvias pueden interrumpir despachos, la humedad afecta conservación y cambios en disponibilidad de agua y café modifican requisitos de operación de las cafeterías. Se prevén rutas alternativas, condiciones de almacenamiento y consulta de restricciones del lugar durante el diseño. Los compromisos ambientales de un cliente se confirman en su revisión contractual; no se prometen certificaciones ambientales de terceros sin soporte.</w:t>
      </w:r>
    </w:p>
    <w:p>
      <w:r>
        <w:t>Los objetivos tienen responsable, fórmula, frecuencia, fuente y respuesta ante desvíos en CC-MT-02. Los riesgos se priorizan por probabilidad e impacto y se revisan luego de una falla relevante. Las oportunidades tienen una acción, inversión estimada y medida de beneficio independiente de la puntuación de riesgo.</w:t>
      </w:r>
    </w:p>
    <w:p>
      <w:pPr>
        <w:pStyle w:val="Heading1"/>
      </w:pPr>
      <w:r>
        <w:t>Recursos e información documentada</w:t>
      </w:r>
    </w:p>
    <w:p>
      <w:r>
        <w:t>La planificación de cada servicio identifica personal autorizado, herramientas, información técnica, instalaciones y recursos de seguimiento. Las competencias se demuestran con evaluación práctica y no únicamente con asistencia a una capacitación. El conocimiento útil se conserva en instrucciones, lecciones aprendidas y registros de proyectos, respetando el acceso autorizado.</w:t>
      </w:r>
    </w:p>
    <w:p>
      <w:r>
        <w:t>CC-PR-01 define identificación, revisión, aprobación, distribución, conservación y retiro de documentos. Las copias de trabajo pueden tener notas; si la nota modifica un requisito se tramita un cambio. Los plazos de retención del expediente son decisiones internas de la simulación y se revisan con Legal si un contrato exige un plazo diferente.</w:t>
      </w:r>
    </w:p>
    <w:p>
      <w:pPr>
        <w:pStyle w:val="Heading1"/>
      </w:pPr>
      <w:r>
        <w:t>Control de la operación</w:t>
      </w:r>
    </w:p>
    <w:p>
      <w:pPr>
        <w:pStyle w:val="ListBullet"/>
      </w:pPr>
      <w:r>
        <w:t>Antes de aceptar un pedido se comprueban alcance, especificación, precio, capacidad, entrega y responsabilidades del cliente. Ventas conserva las diferencias resueltas y la aceptación.</w:t>
      </w:r>
    </w:p>
    <w:p>
      <w:pPr>
        <w:pStyle w:val="ListBullet"/>
      </w:pPr>
      <w:r>
        <w:t>Cada diseño registra entradas, revisiones, verificación contra entradas, validación con el uso previsto y aprobación de cambios. La validación en sitio puede complementar la revisión de planos, pero no justificar una instalación insegura.</w:t>
      </w:r>
    </w:p>
    <w:p>
      <w:pPr>
        <w:pStyle w:val="ListBullet"/>
      </w:pPr>
      <w:r>
        <w:t>Los proveedores se seleccionan y reevaluan según criticidad, conformidad y entrega. Se comunica la especificación y la evidencia requerida antes de comprar.</w:t>
      </w:r>
    </w:p>
    <w:p>
      <w:pPr>
        <w:pStyle w:val="ListBullet"/>
      </w:pPr>
      <w:r>
        <w:t>Recepción comprueba identidad, cantidad, condición y documentos. Se relaciona el número de serie o lote con la orden y el cliente. Material no conforme permanece identificado y separado.</w:t>
      </w:r>
    </w:p>
    <w:p>
      <w:pPr>
        <w:pStyle w:val="ListBullet"/>
      </w:pPr>
      <w:r>
        <w:t>Montaje verifica el lugar, instala según instrucciones aplicables y ejecuta controles de liberación con personal competente. La aceptación del cliente, pendientes y capacitación quedan registrados.</w:t>
      </w:r>
    </w:p>
    <w:p>
      <w:pPr>
        <w:pStyle w:val="ListBullet"/>
      </w:pPr>
      <w:r>
        <w:t>Los cambios, devoluciones, bienes del cliente y actividades posteriores a la entrega se controlan con trazabilidad. Cuando corresponde una concesión se obtiene la autorización pertinente antes de liberar.</w:t>
      </w:r>
    </w:p>
    <w:p>
      <w:pPr>
        <w:pStyle w:val="Heading1"/>
      </w:pPr>
      <w:r>
        <w:t>Evaluación y mejora</w:t>
      </w:r>
    </w:p>
    <w:p>
      <w:r>
        <w:t>Cada líder revisa su tablero mensual, explica desvíos y conserva evidencia de decisiones. Servicio al cliente consolida satisfacción y reclamaciones; Calidad analiza tendencias. La auditoría interna cubre el alcance del sistema en el ciclo anual mediante muestreo y auditores independientes de la actividad auditada.</w:t>
      </w:r>
    </w:p>
    <w:p>
      <w:r>
        <w:t>La revisión por la dirección analiza resultados, cambios del contexto, retroalimentación, auditorías, acciones, proveedores, recursos, riesgos y oportunidades. Sus salidas fijan decisiones, responsables, fechas y recursos. Las acciones correctivas distinguen contención, corrección, causa y comprobación de eficacia. El cierre exige evidencia y no solamente la tarea marcada como realizada.</w:t>
      </w:r>
    </w:p>
    <w:p>
      <w:pPr>
        <w:pStyle w:val="Heading1"/>
      </w:pPr>
      <w:r>
        <w:t>Referencia documental</w:t>
      </w:r>
    </w:p>
    <w:p>
      <w:r>
        <w:t>El expediente se sitúa al 31 de diciembre de 2025 y utiliza como referencia histórica ISO 9001:2015 con la enmienda de cambio climático de 2024. Las numeraciones de referencia sirven para orientar la lectura y no reproducen el texto de la norma. Este manual es una decisión organizativa para reunir el sistema; la cantidad y los nombres de los documentos son propios de Company Co.</w:t>
      </w:r>
    </w:p>
    <w:p>
      <w:r>
        <w:t>La trazabilidad temática y las fuentes públicas consultadas se conservan en la guía del conjunto de prueba. Los resultados, reuniones, aprobaciones y registros representados pertenecen exclusivamente a esta compañía ficticia.</w:t>
      </w:r>
    </w:p>
    <w:p>
      <w:pPr>
        <w:pStyle w:val="Heading1"/>
      </w:pPr>
      <w:r>
        <w:t>Documentos relacionados</w:t>
      </w:r>
    </w:p>
    <w:p>
      <w:r>
        <w:t>CC-MT-01 | CC-MT-02 | CC-LM-01 | CC-AC-01</w:t>
      </w:r>
    </w:p>
    <w:p>
      <w:pPr>
        <w:pStyle w:val="Heading1"/>
      </w:pPr>
      <w:r>
        <w:t>Historial de cambios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43"/>
        <w:gridCol w:w="4270"/>
        <w:gridCol w:w="3253"/>
      </w:tblGrid>
      <w:tr>
        <w:trPr>
          <w:tblHeader w:val="true"/>
          <w:cantSplit/>
        </w:trPr>
        <w:tc>
          <w:tcPr>
            <w:tcW w:type="dxa" w:w="264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Revisión</w:t>
            </w:r>
          </w:p>
        </w:tc>
        <w:tc>
          <w:tcPr>
            <w:tcW w:type="dxa" w:w="427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Fecha</w:t>
            </w:r>
          </w:p>
        </w:tc>
        <w:tc>
          <w:tcPr>
            <w:tcW w:type="dxa" w:w="325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Cambio registrado</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04</w:t>
            </w:r>
          </w:p>
        </w:tc>
        <w:tc>
          <w:tcPr>
            <w:tcW w:type="dxa" w:w="4270"/>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2025-07-01</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Ajuste del alcance, responsables y evidencia del ciclo operativo 2025.</w:t>
            </w:r>
          </w:p>
        </w:tc>
      </w:tr>
    </w:tbl>
    <w:p>
      <w:pPr>
        <w:spacing w:after="20" w:before="0" w:line="240" w:lineRule="auto"/>
      </w:pPr>
      <w:r>
        <w:rPr>
          <w:sz w:val="4"/>
        </w:rPr>
      </w:r>
    </w:p>
    <w:p>
      <w:r>
        <w:br w:type="page"/>
      </w:r>
    </w:p>
    <w:p>
      <w:pPr>
        <w:pStyle w:val="Title"/>
      </w:pPr>
      <w:r>
        <w:t>Contexto partes interesadas riesgos y oportunidades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0"/>
        <w:gridCol w:w="2847"/>
        <w:gridCol w:w="2440"/>
        <w:gridCol w:w="2440"/>
      </w:tblGrid>
      <w:tr>
        <w:trPr>
          <w:tblHeader w:val="true"/>
          <w:cantSplit/>
        </w:trPr>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Código</w:t>
            </w:r>
          </w:p>
        </w:tc>
        <w:tc>
          <w:tcPr>
            <w:tcW w:type="dxa" w:w="2847"/>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Revisión</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Emisión</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Estado</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CC-MT-01</w:t>
            </w:r>
          </w:p>
        </w:tc>
        <w:tc>
          <w:tcPr>
            <w:tcW w:type="dxa" w:w="284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03</w:t>
            </w:r>
          </w:p>
        </w:tc>
        <w:tc>
          <w:tcPr>
            <w:tcW w:type="dxa" w:w="2440"/>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2025-12-31</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Vigente</w:t>
            </w:r>
          </w:p>
        </w:tc>
      </w:tr>
    </w:tbl>
    <w:p>
      <w:pPr>
        <w:spacing w:after="20" w:before="0" w:line="240" w:lineRule="auto"/>
      </w:pPr>
      <w:r>
        <w:rPr>
          <w:sz w:val="4"/>
        </w:rPr>
      </w:r>
    </w:p>
    <w:p>
      <w:pPr>
        <w:spacing w:after="60"/>
      </w:pPr>
      <w:r>
        <w:rPr>
          <w:b/>
        </w:rPr>
        <w:t xml:space="preserve">Tipo y área: </w:t>
      </w:r>
      <w:r>
        <w:t>Matriz | Dirección general</w:t>
      </w:r>
    </w:p>
    <w:p>
      <w:pPr>
        <w:spacing w:after="60"/>
      </w:pPr>
      <w:r>
        <w:rPr>
          <w:b/>
        </w:rPr>
        <w:t xml:space="preserve">Responsable: </w:t>
      </w:r>
      <w:r>
        <w:t>Valentina Ríos</w:t>
      </w:r>
    </w:p>
    <w:p>
      <w:pPr>
        <w:spacing w:after="60"/>
      </w:pPr>
      <w:r>
        <w:rPr>
          <w:b/>
        </w:rPr>
        <w:t xml:space="preserve">Aprobación interna: </w:t>
      </w:r>
      <w:r>
        <w:t>Valentina Ríos</w:t>
      </w:r>
    </w:p>
    <w:p>
      <w:pPr>
        <w:spacing w:before="100"/>
      </w:pPr>
      <w:r>
        <w:t>Registra las necesidades de las partes interesadas, los principales riesgos y las oportunidades del ciclo 2025. Relaciona cada asunto con un control, evidencia y responsable.</w:t>
      </w:r>
    </w:p>
    <w:p>
      <w:r>
        <w:rPr>
          <w:sz w:val="18"/>
        </w:rPr>
        <w:t>Referencia temática ISO 9001:2015: 4.1, 4.2, 6.1.</w:t>
      </w:r>
    </w:p>
    <w:p>
      <w:pPr>
        <w:pStyle w:val="Heading1"/>
      </w:pPr>
      <w:r>
        <w:t>Criterio de revisión</w:t>
      </w:r>
    </w:p>
    <w:p>
      <w:r>
        <w:t>Corte: 31 de diciembre de 2025. Los líderes revisan la matriz al menos trimestralmente y cuando ocurre un cambio significativo. Las puntuaciones son decisiones internas sintéticas: P e I usan la escala de uno a cinco definida en CC-PR-02. Las acciones futuras conservan su estado y no reducen el riesgo residual hasta comprobar su aplicación.</w:t>
      </w:r>
    </w:p>
    <w:p>
      <w:pPr>
        <w:pStyle w:val="Heading1"/>
      </w:pPr>
      <w:r>
        <w:t>Partes interesadas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43"/>
        <w:gridCol w:w="4270"/>
        <w:gridCol w:w="3253"/>
      </w:tblGrid>
      <w:tr>
        <w:trPr>
          <w:tblHeader w:val="true"/>
          <w:cantSplit/>
        </w:trPr>
        <w:tc>
          <w:tcPr>
            <w:tcW w:type="dxa" w:w="264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Parte</w:t>
            </w:r>
          </w:p>
        </w:tc>
        <w:tc>
          <w:tcPr>
            <w:tcW w:type="dxa" w:w="427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Necesidad pertinente</w:t>
            </w:r>
          </w:p>
        </w:tc>
        <w:tc>
          <w:tcPr>
            <w:tcW w:type="dxa" w:w="325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Control y evidencia</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Clientes B2B</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Solución que funcione en el espacio, costo y fechas claros</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Revisión contractual y diseño; CC-RG-01</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Compradores B2C</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Información precisa, entrega y respuesta a reclamos</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Catálogo revisado; pedido y ticket</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Personal</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Criterios claros y formación aplicable</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Perfiles, evaluación y delegación; CC-RG-05</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Proveedores y contratistas</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Especificaciones, recepción y pagos definidos</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Orden y evaluación; CC-RG-02</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Dirección y socios ficticios</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Continuidad, recursos y resultados confiables</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Indicadores y revisión; CC-MT-02 y CC-AC-01</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Autoridades pertinentes</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Atención de obligaciones que realmente apliquen</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Matriz contractual y normativa interna de Legal</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Vecindad y responsables de sedes</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Trabajo coordinado y control de afectaciones del montaje</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Acta de condiciones del lugar y plan de trabajo</w:t>
            </w:r>
          </w:p>
        </w:tc>
      </w:tr>
    </w:tbl>
    <w:p>
      <w:pPr>
        <w:spacing w:after="20" w:before="0" w:line="240" w:lineRule="auto"/>
      </w:pPr>
      <w:r>
        <w:rPr>
          <w:sz w:val="4"/>
        </w:rPr>
      </w:r>
    </w:p>
    <w:p>
      <w:pPr>
        <w:pStyle w:val="Heading1"/>
      </w:pPr>
      <w:r>
        <w:t>Riesgos priorizados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0"/>
        <w:gridCol w:w="2847"/>
        <w:gridCol w:w="2440"/>
        <w:gridCol w:w="2440"/>
      </w:tblGrid>
      <w:tr>
        <w:trPr>
          <w:tblHeader w:val="true"/>
          <w:cantSplit/>
        </w:trPr>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ID y riesgo</w:t>
            </w:r>
          </w:p>
        </w:tc>
        <w:tc>
          <w:tcPr>
            <w:tcW w:type="dxa" w:w="2847"/>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P por I inicial</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Control y acción</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Dueño y seguimiento</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R-01 Demora de equipo importado altera la fecha prometida</w:t>
            </w:r>
          </w:p>
        </w:tc>
        <w:tc>
          <w:tcPr>
            <w:tcW w:type="dxa" w:w="2847"/>
            <w:vAlign w:val="center"/>
            <w:tcMar>
              <w:top w:w="75" w:type="dxa"/>
              <w:bottom w:w="75" w:type="dxa"/>
              <w:left w:w="90" w:type="dxa"/>
              <w:right w:w="90" w:type="dxa"/>
            </w:tcMar>
          </w:tcPr>
          <w:p>
            <w:pPr>
              <w:keepNext w:val="0"/>
              <w:widowControl/>
              <w:spacing w:before="0" w:after="20" w:line="240" w:lineRule="auto"/>
            </w:pPr>
            <w:r>
              <w:rPr>
                <w:b w:val="0"/>
                <w:color w:val="000000"/>
                <w:sz w:val="18"/>
              </w:rPr>
              <w:t>4 por 4 = 16</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Confirmar disponibilidad antes de ofertar; segunda opción técnica aprobada</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Daniela Suárez; mensual</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R-02 Lluvias interrumpen ruta a Cali</w:t>
            </w:r>
          </w:p>
        </w:tc>
        <w:tc>
          <w:tcPr>
            <w:tcW w:type="dxa" w:w="2847"/>
            <w:vAlign w:val="center"/>
            <w:tcMar>
              <w:top w:w="75" w:type="dxa"/>
              <w:bottom w:w="75" w:type="dxa"/>
              <w:left w:w="90" w:type="dxa"/>
              <w:right w:w="90" w:type="dxa"/>
            </w:tcMar>
          </w:tcPr>
          <w:p>
            <w:pPr>
              <w:keepNext w:val="0"/>
              <w:widowControl/>
              <w:spacing w:before="0" w:after="20" w:line="240" w:lineRule="auto"/>
            </w:pPr>
            <w:r>
              <w:rPr>
                <w:b w:val="0"/>
                <w:color w:val="000000"/>
                <w:sz w:val="18"/>
              </w:rPr>
              <w:t>3 por 4 = 12</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Ventana de contingencia y ruta alterna; informar a ventas</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Felipe Ospina; cada despacho</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R-03 Humedad deteriora café o empaque</w:t>
            </w:r>
          </w:p>
        </w:tc>
        <w:tc>
          <w:tcPr>
            <w:tcW w:type="dxa" w:w="2847"/>
            <w:vAlign w:val="center"/>
            <w:tcMar>
              <w:top w:w="75" w:type="dxa"/>
              <w:bottom w:w="75" w:type="dxa"/>
              <w:left w:w="90" w:type="dxa"/>
              <w:right w:w="90" w:type="dxa"/>
            </w:tcMar>
          </w:tcPr>
          <w:p>
            <w:pPr>
              <w:keepNext w:val="0"/>
              <w:widowControl/>
              <w:spacing w:before="0" w:after="20" w:line="240" w:lineRule="auto"/>
            </w:pPr>
            <w:r>
              <w:rPr>
                <w:b w:val="0"/>
                <w:color w:val="000000"/>
                <w:sz w:val="18"/>
              </w:rPr>
              <w:t>3 por 3 = 9</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Condiciones de conservación y revisión por lote; aislar daño</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Paola Cárdenas; semanal</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R-04 Error de medida del espacio provoca retrabajo</w:t>
            </w:r>
          </w:p>
        </w:tc>
        <w:tc>
          <w:tcPr>
            <w:tcW w:type="dxa" w:w="2847"/>
            <w:vAlign w:val="center"/>
            <w:tcMar>
              <w:top w:w="75" w:type="dxa"/>
              <w:bottom w:w="75" w:type="dxa"/>
              <w:left w:w="90" w:type="dxa"/>
              <w:right w:w="90" w:type="dxa"/>
            </w:tcMar>
          </w:tcPr>
          <w:p>
            <w:pPr>
              <w:keepNext w:val="0"/>
              <w:widowControl/>
              <w:spacing w:before="0" w:after="20" w:line="240" w:lineRule="auto"/>
            </w:pPr>
            <w:r>
              <w:rPr>
                <w:b w:val="0"/>
                <w:color w:val="000000"/>
                <w:sz w:val="18"/>
              </w:rPr>
              <w:t>3 por 4 = 12</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Revisión de levantamiento y validación con cliente antes de comprar</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Isabel Restrepo; por proyecto</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R-05 Inventario web desactualizado genera venta sin stock</w:t>
            </w:r>
          </w:p>
        </w:tc>
        <w:tc>
          <w:tcPr>
            <w:tcW w:type="dxa" w:w="2847"/>
            <w:vAlign w:val="center"/>
            <w:tcMar>
              <w:top w:w="75" w:type="dxa"/>
              <w:bottom w:w="75" w:type="dxa"/>
              <w:left w:w="90" w:type="dxa"/>
              <w:right w:w="90" w:type="dxa"/>
            </w:tcMar>
          </w:tcPr>
          <w:p>
            <w:pPr>
              <w:keepNext w:val="0"/>
              <w:widowControl/>
              <w:spacing w:before="0" w:after="20" w:line="240" w:lineRule="auto"/>
            </w:pPr>
            <w:r>
              <w:rPr>
                <w:b w:val="0"/>
                <w:color w:val="000000"/>
                <w:sz w:val="18"/>
              </w:rPr>
              <w:t>4 por 3 = 12</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Reserva y conciliación de pedidos; alertas de excepción</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Nicolás Acosta; diario</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R-06 Instrumento fuera de vigencia afecta liberación</w:t>
            </w:r>
          </w:p>
        </w:tc>
        <w:tc>
          <w:tcPr>
            <w:tcW w:type="dxa" w:w="2847"/>
            <w:vAlign w:val="center"/>
            <w:tcMar>
              <w:top w:w="75" w:type="dxa"/>
              <w:bottom w:w="75" w:type="dxa"/>
              <w:left w:w="90" w:type="dxa"/>
              <w:right w:w="90" w:type="dxa"/>
            </w:tcMar>
          </w:tcPr>
          <w:p>
            <w:pPr>
              <w:keepNext w:val="0"/>
              <w:widowControl/>
              <w:spacing w:before="0" w:after="20" w:line="240" w:lineRule="auto"/>
            </w:pPr>
            <w:r>
              <w:rPr>
                <w:b w:val="0"/>
                <w:color w:val="000000"/>
                <w:sz w:val="18"/>
              </w:rPr>
              <w:t>2 por 5 = 10</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Bloquear uso; evaluar trabajos medidos; sustituir equipo</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Ricardo Muñoz; mensual</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R-07 Pérdida de registros impide demostrar aceptación</w:t>
            </w:r>
          </w:p>
        </w:tc>
        <w:tc>
          <w:tcPr>
            <w:tcW w:type="dxa" w:w="2847"/>
            <w:vAlign w:val="center"/>
            <w:tcMar>
              <w:top w:w="75" w:type="dxa"/>
              <w:bottom w:w="75" w:type="dxa"/>
              <w:left w:w="90" w:type="dxa"/>
              <w:right w:w="90" w:type="dxa"/>
            </w:tcMar>
          </w:tcPr>
          <w:p>
            <w:pPr>
              <w:keepNext w:val="0"/>
              <w:widowControl/>
              <w:spacing w:before="0" w:after="20" w:line="240" w:lineRule="auto"/>
            </w:pPr>
            <w:r>
              <w:rPr>
                <w:b w:val="0"/>
                <w:color w:val="000000"/>
                <w:sz w:val="18"/>
              </w:rPr>
              <w:t>2 por 4 = 8</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Respaldar y comprobar recuperación; accesos por rol</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Santiago Robledo; mensual</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R-08 Uso de un procedimiento obsoleto altera el control</w:t>
            </w:r>
          </w:p>
        </w:tc>
        <w:tc>
          <w:tcPr>
            <w:tcW w:type="dxa" w:w="2847"/>
            <w:vAlign w:val="center"/>
            <w:tcMar>
              <w:top w:w="75" w:type="dxa"/>
              <w:bottom w:w="75" w:type="dxa"/>
              <w:left w:w="90" w:type="dxa"/>
              <w:right w:w="90" w:type="dxa"/>
            </w:tcMar>
          </w:tcPr>
          <w:p>
            <w:pPr>
              <w:keepNext w:val="0"/>
              <w:widowControl/>
              <w:spacing w:before="0" w:after="20" w:line="240" w:lineRule="auto"/>
            </w:pPr>
            <w:r>
              <w:rPr>
                <w:b w:val="0"/>
                <w:color w:val="000000"/>
                <w:sz w:val="18"/>
              </w:rPr>
              <w:t>3 por 3 = 9</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Revisar lista maestra y retirar copias; acción AC-2025-018 cerrada el 09/12; mantener vigilancia</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Ricardo Muñoz; noviembre a enero</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R-09 Cambio de suministro de agua afecta operación prevista</w:t>
            </w:r>
          </w:p>
        </w:tc>
        <w:tc>
          <w:tcPr>
            <w:tcW w:type="dxa" w:w="2847"/>
            <w:vAlign w:val="center"/>
            <w:tcMar>
              <w:top w:w="75" w:type="dxa"/>
              <w:bottom w:w="75" w:type="dxa"/>
              <w:left w:w="90" w:type="dxa"/>
              <w:right w:w="90" w:type="dxa"/>
            </w:tcMar>
          </w:tcPr>
          <w:p>
            <w:pPr>
              <w:keepNext w:val="0"/>
              <w:widowControl/>
              <w:spacing w:before="0" w:after="20" w:line="240" w:lineRule="auto"/>
            </w:pPr>
            <w:r>
              <w:rPr>
                <w:b w:val="0"/>
                <w:color w:val="000000"/>
                <w:sz w:val="18"/>
              </w:rPr>
              <w:t>3 por 3 = 9</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Consultar condiciones del lugar y requisitos del equipo en diseño</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Andrés Molina; por proyecto</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R-10 Capacitación sin evaluación deja tarea no autorizada</w:t>
            </w:r>
          </w:p>
        </w:tc>
        <w:tc>
          <w:tcPr>
            <w:tcW w:type="dxa" w:w="2847"/>
            <w:vAlign w:val="center"/>
            <w:tcMar>
              <w:top w:w="75" w:type="dxa"/>
              <w:bottom w:w="75" w:type="dxa"/>
              <w:left w:w="90" w:type="dxa"/>
              <w:right w:w="90" w:type="dxa"/>
            </w:tcMar>
          </w:tcPr>
          <w:p>
            <w:pPr>
              <w:keepNext w:val="0"/>
              <w:widowControl/>
              <w:spacing w:before="0" w:after="20" w:line="240" w:lineRule="auto"/>
            </w:pPr>
            <w:r>
              <w:rPr>
                <w:b w:val="0"/>
                <w:color w:val="000000"/>
                <w:sz w:val="18"/>
              </w:rPr>
              <w:t>3 por 4 = 12</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Lista de autorizaciones; supervisión hasta validación</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Clara Ramírez; mensual</w:t>
            </w:r>
          </w:p>
        </w:tc>
      </w:tr>
    </w:tbl>
    <w:p>
      <w:pPr>
        <w:spacing w:after="20" w:before="0" w:line="240" w:lineRule="auto"/>
      </w:pPr>
      <w:r>
        <w:rPr>
          <w:sz w:val="4"/>
        </w:rPr>
      </w:r>
    </w:p>
    <w:p>
      <w:pPr>
        <w:pStyle w:val="Heading1"/>
      </w:pPr>
      <w:r>
        <w:t>Oportunidades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322"/>
        <w:gridCol w:w="2847"/>
        <w:gridCol w:w="3660"/>
        <w:gridCol w:w="2338"/>
      </w:tblGrid>
      <w:tr>
        <w:trPr>
          <w:tblHeader w:val="true"/>
          <w:cantSplit/>
        </w:trPr>
        <w:tc>
          <w:tcPr>
            <w:tcW w:type="dxa" w:w="1322"/>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ID</w:t>
            </w:r>
          </w:p>
        </w:tc>
        <w:tc>
          <w:tcPr>
            <w:tcW w:type="dxa" w:w="2847"/>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Beneficio y acción</w:t>
            </w:r>
          </w:p>
        </w:tc>
        <w:tc>
          <w:tcPr>
            <w:tcW w:type="dxa" w:w="366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Medida de resultado</w:t>
            </w:r>
          </w:p>
        </w:tc>
        <w:tc>
          <w:tcPr>
            <w:tcW w:type="dxa" w:w="2338"/>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Responsable</w:t>
            </w:r>
          </w:p>
        </w:tc>
      </w:tr>
      <w:tr>
        <w:trPr>
          <w:cantSplit/>
        </w:trPr>
        <w:tc>
          <w:tcPr>
            <w:tcW w:type="dxa" w:w="1322"/>
            <w:vAlign w:val="center"/>
            <w:tcMar>
              <w:top w:w="75" w:type="dxa"/>
              <w:bottom w:w="75" w:type="dxa"/>
              <w:left w:w="90" w:type="dxa"/>
              <w:right w:w="90" w:type="dxa"/>
            </w:tcMar>
          </w:tcPr>
          <w:p>
            <w:pPr>
              <w:keepNext w:val="0"/>
              <w:widowControl/>
              <w:spacing w:before="0" w:after="20" w:line="240" w:lineRule="auto"/>
            </w:pPr>
            <w:r>
              <w:rPr>
                <w:b w:val="0"/>
                <w:color w:val="000000"/>
                <w:sz w:val="18"/>
              </w:rPr>
              <w:t>O-01</w:t>
            </w:r>
          </w:p>
        </w:tc>
        <w:tc>
          <w:tcPr>
            <w:tcW w:type="dxa" w:w="2847"/>
            <w:vAlign w:val="center"/>
            <w:tcMar>
              <w:top w:w="75" w:type="dxa"/>
              <w:bottom w:w="75" w:type="dxa"/>
              <w:left w:w="90" w:type="dxa"/>
              <w:right w:w="90" w:type="dxa"/>
            </w:tcMar>
          </w:tcPr>
          <w:p>
            <w:pPr>
              <w:keepNext w:val="0"/>
              <w:widowControl/>
              <w:spacing w:before="0" w:after="20" w:line="240" w:lineRule="auto"/>
            </w:pPr>
            <w:r>
              <w:rPr>
                <w:b w:val="0"/>
                <w:color w:val="000000"/>
                <w:sz w:val="18"/>
              </w:rPr>
              <w:t>Agrupar despachos por ciudad con aprobación del cliente</w:t>
            </w:r>
          </w:p>
        </w:tc>
        <w:tc>
          <w:tcPr>
            <w:tcW w:type="dxa" w:w="3660"/>
            <w:vAlign w:val="center"/>
            <w:tcMar>
              <w:top w:w="75" w:type="dxa"/>
              <w:bottom w:w="75" w:type="dxa"/>
              <w:left w:w="90" w:type="dxa"/>
              <w:right w:w="90" w:type="dxa"/>
            </w:tcMar>
          </w:tcPr>
          <w:p>
            <w:pPr>
              <w:keepNext w:val="0"/>
              <w:widowControl/>
              <w:spacing w:before="0" w:after="20" w:line="240" w:lineRule="auto"/>
            </w:pPr>
            <w:r>
              <w:rPr>
                <w:b w:val="0"/>
                <w:color w:val="000000"/>
                <w:sz w:val="18"/>
              </w:rPr>
              <w:t>Reducir 10 % costo por entrega sin bajar puntualidad</w:t>
            </w:r>
          </w:p>
        </w:tc>
        <w:tc>
          <w:tcPr>
            <w:tcW w:type="dxa" w:w="2338"/>
            <w:vAlign w:val="center"/>
            <w:tcMar>
              <w:top w:w="75" w:type="dxa"/>
              <w:bottom w:w="75" w:type="dxa"/>
              <w:left w:w="90" w:type="dxa"/>
              <w:right w:w="90" w:type="dxa"/>
            </w:tcMar>
          </w:tcPr>
          <w:p>
            <w:pPr>
              <w:keepNext w:val="0"/>
              <w:widowControl/>
              <w:spacing w:before="0" w:after="20" w:line="240" w:lineRule="auto"/>
            </w:pPr>
            <w:r>
              <w:rPr>
                <w:b w:val="0"/>
                <w:color w:val="000000"/>
                <w:sz w:val="18"/>
              </w:rPr>
              <w:t>Felipe Ospina</w:t>
            </w:r>
          </w:p>
        </w:tc>
      </w:tr>
      <w:tr>
        <w:trPr>
          <w:cantSplit/>
        </w:trPr>
        <w:tc>
          <w:tcPr>
            <w:tcW w:type="dxa" w:w="1322"/>
            <w:vAlign w:val="center"/>
            <w:tcMar>
              <w:top w:w="75" w:type="dxa"/>
              <w:bottom w:w="75" w:type="dxa"/>
              <w:left w:w="90" w:type="dxa"/>
              <w:right w:w="90" w:type="dxa"/>
            </w:tcMar>
          </w:tcPr>
          <w:p>
            <w:pPr>
              <w:keepNext w:val="0"/>
              <w:widowControl/>
              <w:spacing w:before="0" w:after="20" w:line="240" w:lineRule="auto"/>
            </w:pPr>
            <w:r>
              <w:rPr>
                <w:b w:val="0"/>
                <w:color w:val="000000"/>
                <w:sz w:val="18"/>
              </w:rPr>
              <w:t>O-02</w:t>
            </w:r>
          </w:p>
        </w:tc>
        <w:tc>
          <w:tcPr>
            <w:tcW w:type="dxa" w:w="2847"/>
            <w:vAlign w:val="center"/>
            <w:tcMar>
              <w:top w:w="75" w:type="dxa"/>
              <w:bottom w:w="75" w:type="dxa"/>
              <w:left w:w="90" w:type="dxa"/>
              <w:right w:w="90" w:type="dxa"/>
            </w:tcMar>
          </w:tcPr>
          <w:p>
            <w:pPr>
              <w:keepNext w:val="0"/>
              <w:widowControl/>
              <w:spacing w:before="0" w:after="20" w:line="240" w:lineRule="auto"/>
            </w:pPr>
            <w:r>
              <w:rPr>
                <w:b w:val="0"/>
                <w:color w:val="000000"/>
                <w:sz w:val="18"/>
              </w:rPr>
              <w:t>Kit de instalación por tipo de máquina</w:t>
            </w:r>
          </w:p>
        </w:tc>
        <w:tc>
          <w:tcPr>
            <w:tcW w:type="dxa" w:w="3660"/>
            <w:vAlign w:val="center"/>
            <w:tcMar>
              <w:top w:w="75" w:type="dxa"/>
              <w:bottom w:w="75" w:type="dxa"/>
              <w:left w:w="90" w:type="dxa"/>
              <w:right w:w="90" w:type="dxa"/>
            </w:tcMar>
          </w:tcPr>
          <w:p>
            <w:pPr>
              <w:keepNext w:val="0"/>
              <w:widowControl/>
              <w:spacing w:before="0" w:after="20" w:line="240" w:lineRule="auto"/>
            </w:pPr>
            <w:r>
              <w:rPr>
                <w:b w:val="0"/>
                <w:color w:val="000000"/>
                <w:sz w:val="18"/>
              </w:rPr>
              <w:t>Reducir retrabajo de montaje a 4 % o menos</w:t>
            </w:r>
          </w:p>
        </w:tc>
        <w:tc>
          <w:tcPr>
            <w:tcW w:type="dxa" w:w="2338"/>
            <w:vAlign w:val="center"/>
            <w:tcMar>
              <w:top w:w="75" w:type="dxa"/>
              <w:bottom w:w="75" w:type="dxa"/>
              <w:left w:w="90" w:type="dxa"/>
              <w:right w:w="90" w:type="dxa"/>
            </w:tcMar>
          </w:tcPr>
          <w:p>
            <w:pPr>
              <w:keepNext w:val="0"/>
              <w:widowControl/>
              <w:spacing w:before="0" w:after="20" w:line="240" w:lineRule="auto"/>
            </w:pPr>
            <w:r>
              <w:rPr>
                <w:b w:val="0"/>
                <w:color w:val="000000"/>
                <w:sz w:val="18"/>
              </w:rPr>
              <w:t>Óscar Benítez</w:t>
            </w:r>
          </w:p>
        </w:tc>
      </w:tr>
      <w:tr>
        <w:trPr>
          <w:cantSplit/>
        </w:trPr>
        <w:tc>
          <w:tcPr>
            <w:tcW w:type="dxa" w:w="1322"/>
            <w:vAlign w:val="center"/>
            <w:tcMar>
              <w:top w:w="75" w:type="dxa"/>
              <w:bottom w:w="75" w:type="dxa"/>
              <w:left w:w="90" w:type="dxa"/>
              <w:right w:w="90" w:type="dxa"/>
            </w:tcMar>
          </w:tcPr>
          <w:p>
            <w:pPr>
              <w:keepNext w:val="0"/>
              <w:widowControl/>
              <w:spacing w:before="0" w:after="20" w:line="240" w:lineRule="auto"/>
            </w:pPr>
            <w:r>
              <w:rPr>
                <w:b w:val="0"/>
                <w:color w:val="000000"/>
                <w:sz w:val="18"/>
              </w:rPr>
              <w:t>O-03</w:t>
            </w:r>
          </w:p>
        </w:tc>
        <w:tc>
          <w:tcPr>
            <w:tcW w:type="dxa" w:w="2847"/>
            <w:vAlign w:val="center"/>
            <w:tcMar>
              <w:top w:w="75" w:type="dxa"/>
              <w:bottom w:w="75" w:type="dxa"/>
              <w:left w:w="90" w:type="dxa"/>
              <w:right w:w="90" w:type="dxa"/>
            </w:tcMar>
          </w:tcPr>
          <w:p>
            <w:pPr>
              <w:keepNext w:val="0"/>
              <w:widowControl/>
              <w:spacing w:before="0" w:after="20" w:line="240" w:lineRule="auto"/>
            </w:pPr>
            <w:r>
              <w:rPr>
                <w:b w:val="0"/>
                <w:color w:val="000000"/>
                <w:sz w:val="18"/>
              </w:rPr>
              <w:t>Guía de compatibilidad en tienda electrónica</w:t>
            </w:r>
          </w:p>
        </w:tc>
        <w:tc>
          <w:tcPr>
            <w:tcW w:type="dxa" w:w="3660"/>
            <w:vAlign w:val="center"/>
            <w:tcMar>
              <w:top w:w="75" w:type="dxa"/>
              <w:bottom w:w="75" w:type="dxa"/>
              <w:left w:w="90" w:type="dxa"/>
              <w:right w:w="90" w:type="dxa"/>
            </w:tcMar>
          </w:tcPr>
          <w:p>
            <w:pPr>
              <w:keepNext w:val="0"/>
              <w:widowControl/>
              <w:spacing w:before="0" w:after="20" w:line="240" w:lineRule="auto"/>
            </w:pPr>
            <w:r>
              <w:rPr>
                <w:b w:val="0"/>
                <w:color w:val="000000"/>
                <w:sz w:val="18"/>
              </w:rPr>
              <w:t>Reducir devoluciones por selección equivocada</w:t>
            </w:r>
          </w:p>
        </w:tc>
        <w:tc>
          <w:tcPr>
            <w:tcW w:type="dxa" w:w="2338"/>
            <w:vAlign w:val="center"/>
            <w:tcMar>
              <w:top w:w="75" w:type="dxa"/>
              <w:bottom w:w="75" w:type="dxa"/>
              <w:left w:w="90" w:type="dxa"/>
              <w:right w:w="90" w:type="dxa"/>
            </w:tcMar>
          </w:tcPr>
          <w:p>
            <w:pPr>
              <w:keepNext w:val="0"/>
              <w:widowControl/>
              <w:spacing w:before="0" w:after="20" w:line="240" w:lineRule="auto"/>
            </w:pPr>
            <w:r>
              <w:rPr>
                <w:b w:val="0"/>
                <w:color w:val="000000"/>
                <w:sz w:val="18"/>
              </w:rPr>
              <w:t>Nicolás Acosta</w:t>
            </w:r>
          </w:p>
        </w:tc>
      </w:tr>
      <w:tr>
        <w:trPr>
          <w:cantSplit/>
        </w:trPr>
        <w:tc>
          <w:tcPr>
            <w:tcW w:type="dxa" w:w="1322"/>
            <w:vAlign w:val="center"/>
            <w:tcMar>
              <w:top w:w="75" w:type="dxa"/>
              <w:bottom w:w="75" w:type="dxa"/>
              <w:left w:w="90" w:type="dxa"/>
              <w:right w:w="90" w:type="dxa"/>
            </w:tcMar>
          </w:tcPr>
          <w:p>
            <w:pPr>
              <w:keepNext w:val="0"/>
              <w:widowControl/>
              <w:spacing w:before="0" w:after="20" w:line="240" w:lineRule="auto"/>
            </w:pPr>
            <w:r>
              <w:rPr>
                <w:b w:val="0"/>
                <w:color w:val="000000"/>
                <w:sz w:val="18"/>
              </w:rPr>
              <w:t>O-04</w:t>
            </w:r>
          </w:p>
        </w:tc>
        <w:tc>
          <w:tcPr>
            <w:tcW w:type="dxa" w:w="2847"/>
            <w:vAlign w:val="center"/>
            <w:tcMar>
              <w:top w:w="75" w:type="dxa"/>
              <w:bottom w:w="75" w:type="dxa"/>
              <w:left w:w="90" w:type="dxa"/>
              <w:right w:w="90" w:type="dxa"/>
            </w:tcMar>
          </w:tcPr>
          <w:p>
            <w:pPr>
              <w:keepNext w:val="0"/>
              <w:widowControl/>
              <w:spacing w:before="0" w:after="20" w:line="240" w:lineRule="auto"/>
            </w:pPr>
            <w:r>
              <w:rPr>
                <w:b w:val="0"/>
                <w:color w:val="000000"/>
                <w:sz w:val="18"/>
              </w:rPr>
              <w:t>Transferir lecciones de PRJ-005 a formación</w:t>
            </w:r>
          </w:p>
        </w:tc>
        <w:tc>
          <w:tcPr>
            <w:tcW w:type="dxa" w:w="3660"/>
            <w:vAlign w:val="center"/>
            <w:tcMar>
              <w:top w:w="75" w:type="dxa"/>
              <w:bottom w:w="75" w:type="dxa"/>
              <w:left w:w="90" w:type="dxa"/>
              <w:right w:w="90" w:type="dxa"/>
            </w:tcMar>
          </w:tcPr>
          <w:p>
            <w:pPr>
              <w:keepNext w:val="0"/>
              <w:widowControl/>
              <w:spacing w:before="0" w:after="20" w:line="240" w:lineRule="auto"/>
            </w:pPr>
            <w:r>
              <w:rPr>
                <w:b w:val="0"/>
                <w:color w:val="000000"/>
                <w:sz w:val="18"/>
              </w:rPr>
              <w:t>100 % de instaladores objetivo evaluados</w:t>
            </w:r>
          </w:p>
        </w:tc>
        <w:tc>
          <w:tcPr>
            <w:tcW w:type="dxa" w:w="2338"/>
            <w:vAlign w:val="center"/>
            <w:tcMar>
              <w:top w:w="75" w:type="dxa"/>
              <w:bottom w:w="75" w:type="dxa"/>
              <w:left w:w="90" w:type="dxa"/>
              <w:right w:w="90" w:type="dxa"/>
            </w:tcMar>
          </w:tcPr>
          <w:p>
            <w:pPr>
              <w:keepNext w:val="0"/>
              <w:widowControl/>
              <w:spacing w:before="0" w:after="20" w:line="240" w:lineRule="auto"/>
            </w:pPr>
            <w:r>
              <w:rPr>
                <w:b w:val="0"/>
                <w:color w:val="000000"/>
                <w:sz w:val="18"/>
              </w:rPr>
              <w:t>Clara Ramírez</w:t>
            </w:r>
          </w:p>
        </w:tc>
      </w:tr>
    </w:tbl>
    <w:p>
      <w:pPr>
        <w:spacing w:after="20" w:before="0" w:line="240" w:lineRule="auto"/>
      </w:pPr>
      <w:r>
        <w:rPr>
          <w:sz w:val="4"/>
        </w:rPr>
      </w:r>
    </w:p>
    <w:p>
      <w:pPr>
        <w:pStyle w:val="Heading1"/>
      </w:pPr>
      <w:r>
        <w:t>Decisiones y pendientes</w:t>
      </w:r>
    </w:p>
    <w:p>
      <w:r>
        <w:t>Los riesgos R-01, R-02, R-04, R-05 y R-10 tienen prioridad alta y se revisan mensualmente. R-06 recibe tratamiento específico por su posible impacto aunque la puntuación agregada no sea alta. Las oportunidades O-01 y O-02 pasan a evaluación de recursos en CC-AC-01. El efecto de cada control se registra en su expediente; esta matriz no declara que todas las acciones estén cerradas.</w:t>
      </w:r>
    </w:p>
    <w:p>
      <w:r>
        <w:t>El cambio climático se considera pertinente por su efecto sobre rutas, humedad, disponibilidad de café y condiciones de suministro de agua. La organización distingue estos efectos de promesas de desempeño ambiental que no haya verificado. Las solicitudes climáticas de clientes se revisan contractualmente antes de aceptarse.</w:t>
      </w:r>
    </w:p>
    <w:p>
      <w:pPr>
        <w:pStyle w:val="Heading1"/>
      </w:pPr>
      <w:r>
        <w:t>Documentos relacionados</w:t>
      </w:r>
    </w:p>
    <w:p>
      <w:r>
        <w:t>CC-PR-02 | CC-AC-01 | CC-RG-04</w:t>
      </w:r>
    </w:p>
    <w:p>
      <w:pPr>
        <w:pStyle w:val="Heading1"/>
      </w:pPr>
      <w:r>
        <w:t>Historial de cambios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43"/>
        <w:gridCol w:w="4270"/>
        <w:gridCol w:w="3253"/>
      </w:tblGrid>
      <w:tr>
        <w:trPr>
          <w:tblHeader w:val="true"/>
          <w:cantSplit/>
        </w:trPr>
        <w:tc>
          <w:tcPr>
            <w:tcW w:type="dxa" w:w="264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Revisión</w:t>
            </w:r>
          </w:p>
        </w:tc>
        <w:tc>
          <w:tcPr>
            <w:tcW w:type="dxa" w:w="427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Fecha</w:t>
            </w:r>
          </w:p>
        </w:tc>
        <w:tc>
          <w:tcPr>
            <w:tcW w:type="dxa" w:w="325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Cambio registrado</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03</w:t>
            </w:r>
          </w:p>
        </w:tc>
        <w:tc>
          <w:tcPr>
            <w:tcW w:type="dxa" w:w="4270"/>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2025-12-31</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Ajuste del alcance, responsables y evidencia del ciclo operativo 2025.</w:t>
            </w:r>
          </w:p>
        </w:tc>
      </w:tr>
    </w:tbl>
    <w:p>
      <w:pPr>
        <w:spacing w:after="20" w:before="0" w:line="240" w:lineRule="auto"/>
      </w:pPr>
      <w:r>
        <w:rPr>
          <w:sz w:val="4"/>
        </w:rPr>
      </w:r>
    </w:p>
    <w:p>
      <w:r>
        <w:br w:type="page"/>
      </w:r>
    </w:p>
    <w:p>
      <w:pPr>
        <w:pStyle w:val="Title"/>
      </w:pPr>
      <w:r>
        <w:t>Objetivos e indicadores de calidad</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0"/>
        <w:gridCol w:w="2847"/>
        <w:gridCol w:w="2440"/>
        <w:gridCol w:w="2440"/>
      </w:tblGrid>
      <w:tr>
        <w:trPr>
          <w:tblHeader w:val="true"/>
          <w:cantSplit/>
        </w:trPr>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Código</w:t>
            </w:r>
          </w:p>
        </w:tc>
        <w:tc>
          <w:tcPr>
            <w:tcW w:type="dxa" w:w="2847"/>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Revisión</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Emisión</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Estado</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CC-MT-02</w:t>
            </w:r>
          </w:p>
        </w:tc>
        <w:tc>
          <w:tcPr>
            <w:tcW w:type="dxa" w:w="284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02</w:t>
            </w:r>
          </w:p>
        </w:tc>
        <w:tc>
          <w:tcPr>
            <w:tcW w:type="dxa" w:w="2440"/>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2025-12-31</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Vigente</w:t>
            </w:r>
          </w:p>
        </w:tc>
      </w:tr>
    </w:tbl>
    <w:p>
      <w:pPr>
        <w:spacing w:after="20" w:before="0" w:line="240" w:lineRule="auto"/>
      </w:pPr>
      <w:r>
        <w:rPr>
          <w:sz w:val="4"/>
        </w:rPr>
      </w:r>
    </w:p>
    <w:p>
      <w:pPr>
        <w:spacing w:after="60"/>
      </w:pPr>
      <w:r>
        <w:rPr>
          <w:b/>
        </w:rPr>
        <w:t xml:space="preserve">Tipo y área: </w:t>
      </w:r>
      <w:r>
        <w:t>Matriz | Dirección general</w:t>
      </w:r>
    </w:p>
    <w:p>
      <w:pPr>
        <w:spacing w:after="60"/>
      </w:pPr>
      <w:r>
        <w:rPr>
          <w:b/>
        </w:rPr>
        <w:t xml:space="preserve">Responsable: </w:t>
      </w:r>
      <w:r>
        <w:t>Valentina Ríos</w:t>
      </w:r>
    </w:p>
    <w:p>
      <w:pPr>
        <w:spacing w:after="60"/>
      </w:pPr>
      <w:r>
        <w:rPr>
          <w:b/>
        </w:rPr>
        <w:t xml:space="preserve">Aprobación interna: </w:t>
      </w:r>
      <w:r>
        <w:t>Valentina Ríos</w:t>
      </w:r>
    </w:p>
    <w:p>
      <w:pPr>
        <w:spacing w:before="100"/>
      </w:pPr>
      <w:r>
        <w:t>Define objetivos, fórmulas, líneas base, metas y responsables del seguimiento. Permite identificar si el resultado pertenece a un cierre anual o a un corte parcial.</w:t>
      </w:r>
    </w:p>
    <w:p>
      <w:r>
        <w:rPr>
          <w:sz w:val="18"/>
        </w:rPr>
        <w:t>Referencia temática ISO 9001:2015: 6.2, 9.1, 9.3.</w:t>
      </w:r>
    </w:p>
    <w:p>
      <w:pPr>
        <w:pStyle w:val="Heading1"/>
      </w:pPr>
      <w:r>
        <w:t>Corte y reglas de lectura</w:t>
      </w:r>
    </w:p>
    <w:p>
      <w:r>
        <w:t>La tabla reúne el cierre sintético de 2025 y metas internas de 2026. Las líneas base de entrega oportuna, satisfacción y devoluciones provienen de la compañía de referencia; los conteos que las sustentan en esta matriz son registros simulados nuevos. Los indicadores operativos pueden tener universos distintos: una entrega no equivale necesariamente a un pedido y una reclamación no equivale a una devolución.</w:t>
      </w:r>
    </w:p>
    <w:p>
      <w:r>
        <w:t>Cada líder conserva numerador, denominador, período y fuente. Un resultado sin denominador se reporta como no calculable. Si la meta no se cumple, el líder registra causa, acción y fecha; si existe efecto repetitivo en conformidad se aplica CC-PR-04.</w:t>
      </w:r>
    </w:p>
    <w:p>
      <w:pPr>
        <w:pStyle w:val="Heading1"/>
      </w:pPr>
      <w:r>
        <w:t>Objetivos y metas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0"/>
        <w:gridCol w:w="2847"/>
        <w:gridCol w:w="2440"/>
        <w:gridCol w:w="2440"/>
      </w:tblGrid>
      <w:tr>
        <w:trPr>
          <w:tblHeader w:val="true"/>
          <w:cantSplit/>
        </w:trPr>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Objetivo e indicador</w:t>
            </w:r>
          </w:p>
        </w:tc>
        <w:tc>
          <w:tcPr>
            <w:tcW w:type="dxa" w:w="2847"/>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Fórmula y cierre 2025</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Meta 2026</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Dueño y frecuencia</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Entrega confiable</w:t>
            </w:r>
          </w:p>
        </w:tc>
        <w:tc>
          <w:tcPr>
            <w:tcW w:type="dxa" w:w="2847"/>
            <w:vAlign w:val="center"/>
            <w:tcMar>
              <w:top w:w="75" w:type="dxa"/>
              <w:bottom w:w="75" w:type="dxa"/>
              <w:left w:w="90" w:type="dxa"/>
              <w:right w:w="90" w:type="dxa"/>
            </w:tcMar>
          </w:tcPr>
          <w:p>
            <w:pPr>
              <w:keepNext w:val="0"/>
              <w:widowControl/>
              <w:spacing w:before="0" w:after="20" w:line="240" w:lineRule="auto"/>
            </w:pPr>
            <w:r>
              <w:rPr>
                <w:b w:val="0"/>
                <w:color w:val="000000"/>
                <w:sz w:val="18"/>
              </w:rPr>
              <w:t>Entregas a tiempo / entregas comprometidas: 5.520 / 6.000 = 92 %</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Al menos 95 %</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Felipe Ospina; mensual</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Satisfacción del cliente</w:t>
            </w:r>
          </w:p>
        </w:tc>
        <w:tc>
          <w:tcPr>
            <w:tcW w:type="dxa" w:w="2847"/>
            <w:vAlign w:val="center"/>
            <w:tcMar>
              <w:top w:w="75" w:type="dxa"/>
              <w:bottom w:w="75" w:type="dxa"/>
              <w:left w:w="90" w:type="dxa"/>
              <w:right w:w="90" w:type="dxa"/>
            </w:tcMar>
          </w:tcPr>
          <w:p>
            <w:pPr>
              <w:keepNext w:val="0"/>
              <w:widowControl/>
              <w:spacing w:before="0" w:after="20" w:line="240" w:lineRule="auto"/>
            </w:pPr>
            <w:r>
              <w:rPr>
                <w:b w:val="0"/>
                <w:color w:val="000000"/>
                <w:sz w:val="18"/>
              </w:rPr>
              <w:t>Puntos obtenidos / puntos posibles por 100: 43.000 / 50.000 = 86/100</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Al menos 90/100</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Mariana León; mensual</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Menos devoluciones B2C</w:t>
            </w:r>
          </w:p>
        </w:tc>
        <w:tc>
          <w:tcPr>
            <w:tcW w:type="dxa" w:w="2847"/>
            <w:vAlign w:val="center"/>
            <w:tcMar>
              <w:top w:w="75" w:type="dxa"/>
              <w:bottom w:w="75" w:type="dxa"/>
              <w:left w:w="90" w:type="dxa"/>
              <w:right w:w="90" w:type="dxa"/>
            </w:tcMar>
          </w:tcPr>
          <w:p>
            <w:pPr>
              <w:keepNext w:val="0"/>
              <w:widowControl/>
              <w:spacing w:before="0" w:after="20" w:line="240" w:lineRule="auto"/>
            </w:pPr>
            <w:r>
              <w:rPr>
                <w:b w:val="0"/>
                <w:color w:val="000000"/>
                <w:sz w:val="18"/>
              </w:rPr>
              <w:t>Órdenes B2C con devolución / órdenes B2C registradas: 192 / 6.000 = 3,2 %</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3 % o menos</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Juliana Franco; mensual</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Diseño liberado sin retrabajo</w:t>
            </w:r>
          </w:p>
        </w:tc>
        <w:tc>
          <w:tcPr>
            <w:tcW w:type="dxa" w:w="2847"/>
            <w:vAlign w:val="center"/>
            <w:tcMar>
              <w:top w:w="75" w:type="dxa"/>
              <w:bottom w:w="75" w:type="dxa"/>
              <w:left w:w="90" w:type="dxa"/>
              <w:right w:w="90" w:type="dxa"/>
            </w:tcMar>
          </w:tcPr>
          <w:p>
            <w:pPr>
              <w:keepNext w:val="0"/>
              <w:widowControl/>
              <w:spacing w:before="0" w:after="20" w:line="240" w:lineRule="auto"/>
            </w:pPr>
            <w:r>
              <w:rPr>
                <w:b w:val="0"/>
                <w:color w:val="000000"/>
                <w:sz w:val="18"/>
              </w:rPr>
              <w:t>Diseños aceptados a primera revisión / revisados: 126 / 144 = 87,5 %</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Al menos 92 %</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Isabel Restrepo; trimestral</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Acciones correctivas oportunas</w:t>
            </w:r>
          </w:p>
        </w:tc>
        <w:tc>
          <w:tcPr>
            <w:tcW w:type="dxa" w:w="2847"/>
            <w:vAlign w:val="center"/>
            <w:tcMar>
              <w:top w:w="75" w:type="dxa"/>
              <w:bottom w:w="75" w:type="dxa"/>
              <w:left w:w="90" w:type="dxa"/>
              <w:right w:w="90" w:type="dxa"/>
            </w:tcMar>
          </w:tcPr>
          <w:p>
            <w:pPr>
              <w:keepNext w:val="0"/>
              <w:widowControl/>
              <w:spacing w:before="0" w:after="20" w:line="240" w:lineRule="auto"/>
            </w:pPr>
            <w:r>
              <w:rPr>
                <w:b w:val="0"/>
                <w:color w:val="000000"/>
                <w:sz w:val="18"/>
              </w:rPr>
              <w:t>Acciones cerradas dentro del plazo / que vencían: 18 / 20 = 90 %</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Al menos 95 %</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Ricardo Muñoz; mensual</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Competencia crítica</w:t>
            </w:r>
          </w:p>
        </w:tc>
        <w:tc>
          <w:tcPr>
            <w:tcW w:type="dxa" w:w="2847"/>
            <w:vAlign w:val="center"/>
            <w:tcMar>
              <w:top w:w="75" w:type="dxa"/>
              <w:bottom w:w="75" w:type="dxa"/>
              <w:left w:w="90" w:type="dxa"/>
              <w:right w:w="90" w:type="dxa"/>
            </w:tcMar>
          </w:tcPr>
          <w:p>
            <w:pPr>
              <w:keepNext w:val="0"/>
              <w:widowControl/>
              <w:spacing w:before="0" w:after="20" w:line="240" w:lineRule="auto"/>
            </w:pPr>
            <w:r>
              <w:rPr>
                <w:b w:val="0"/>
                <w:color w:val="000000"/>
                <w:sz w:val="18"/>
              </w:rPr>
              <w:t>Asignados con competencia vigente / asignados: 39 / 40 = 97,5 %</w:t>
            </w:r>
          </w:p>
        </w:tc>
        <w:tc>
          <w:tcPr>
            <w:tcW w:type="dxa" w:w="2440"/>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100 %</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Clara Ramírez; mensual</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Aprobación documental</w:t>
            </w:r>
          </w:p>
        </w:tc>
        <w:tc>
          <w:tcPr>
            <w:tcW w:type="dxa" w:w="2847"/>
            <w:vAlign w:val="center"/>
            <w:tcMar>
              <w:top w:w="75" w:type="dxa"/>
              <w:bottom w:w="75" w:type="dxa"/>
              <w:left w:w="90" w:type="dxa"/>
              <w:right w:w="90" w:type="dxa"/>
            </w:tcMar>
          </w:tcPr>
          <w:p>
            <w:pPr>
              <w:keepNext w:val="0"/>
              <w:widowControl/>
              <w:spacing w:before="0" w:after="20" w:line="240" w:lineRule="auto"/>
            </w:pPr>
            <w:r>
              <w:rPr>
                <w:b w:val="0"/>
                <w:color w:val="000000"/>
                <w:sz w:val="18"/>
              </w:rPr>
              <w:t>Documentos muestreados con control completo / muestreados: 49 / 50 = 98 %</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Al menos 98 %</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Ricardo Muñoz; mensual</w:t>
            </w:r>
          </w:p>
        </w:tc>
      </w:tr>
    </w:tbl>
    <w:p>
      <w:pPr>
        <w:spacing w:after="20" w:before="0" w:line="240" w:lineRule="auto"/>
      </w:pPr>
      <w:r>
        <w:rPr>
          <w:sz w:val="4"/>
        </w:rPr>
      </w:r>
    </w:p>
    <w:p>
      <w:pPr>
        <w:pStyle w:val="Heading1"/>
      </w:pPr>
      <w:r>
        <w:t>Tendencia de entrega</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0"/>
        <w:gridCol w:w="2847"/>
        <w:gridCol w:w="2440"/>
        <w:gridCol w:w="2440"/>
      </w:tblGrid>
      <w:tr>
        <w:trPr>
          <w:tblHeader w:val="true"/>
          <w:cantSplit/>
        </w:trPr>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Período 2025</w:t>
            </w:r>
          </w:p>
        </w:tc>
        <w:tc>
          <w:tcPr>
            <w:tcW w:type="dxa" w:w="2847"/>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A tiempo</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Comprometidas</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Resultado</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Trimestre 1</w:t>
            </w:r>
          </w:p>
        </w:tc>
        <w:tc>
          <w:tcPr>
            <w:tcW w:type="dxa" w:w="284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1.260</w:t>
            </w:r>
          </w:p>
        </w:tc>
        <w:tc>
          <w:tcPr>
            <w:tcW w:type="dxa" w:w="2440"/>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1.400</w:t>
            </w:r>
          </w:p>
        </w:tc>
        <w:tc>
          <w:tcPr>
            <w:tcW w:type="dxa" w:w="2440"/>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90,0 %</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Trimestre 2</w:t>
            </w:r>
          </w:p>
        </w:tc>
        <w:tc>
          <w:tcPr>
            <w:tcW w:type="dxa" w:w="284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1.380</w:t>
            </w:r>
          </w:p>
        </w:tc>
        <w:tc>
          <w:tcPr>
            <w:tcW w:type="dxa" w:w="2440"/>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1.500</w:t>
            </w:r>
          </w:p>
        </w:tc>
        <w:tc>
          <w:tcPr>
            <w:tcW w:type="dxa" w:w="2440"/>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92,0 %</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Trimestre 3</w:t>
            </w:r>
          </w:p>
        </w:tc>
        <w:tc>
          <w:tcPr>
            <w:tcW w:type="dxa" w:w="284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1.392</w:t>
            </w:r>
          </w:p>
        </w:tc>
        <w:tc>
          <w:tcPr>
            <w:tcW w:type="dxa" w:w="2440"/>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1.500</w:t>
            </w:r>
          </w:p>
        </w:tc>
        <w:tc>
          <w:tcPr>
            <w:tcW w:type="dxa" w:w="2440"/>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92,8 %</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Trimestre 4</w:t>
            </w:r>
          </w:p>
        </w:tc>
        <w:tc>
          <w:tcPr>
            <w:tcW w:type="dxa" w:w="284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1.488</w:t>
            </w:r>
          </w:p>
        </w:tc>
        <w:tc>
          <w:tcPr>
            <w:tcW w:type="dxa" w:w="2440"/>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1.600</w:t>
            </w:r>
          </w:p>
        </w:tc>
        <w:tc>
          <w:tcPr>
            <w:tcW w:type="dxa" w:w="2440"/>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93,0 %</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Total</w:t>
            </w:r>
          </w:p>
        </w:tc>
        <w:tc>
          <w:tcPr>
            <w:tcW w:type="dxa" w:w="284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5.520</w:t>
            </w:r>
          </w:p>
        </w:tc>
        <w:tc>
          <w:tcPr>
            <w:tcW w:type="dxa" w:w="2440"/>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6.000</w:t>
            </w:r>
          </w:p>
        </w:tc>
        <w:tc>
          <w:tcPr>
            <w:tcW w:type="dxa" w:w="2440"/>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92,0 %</w:t>
            </w:r>
          </w:p>
        </w:tc>
      </w:tr>
    </w:tbl>
    <w:p>
      <w:pPr>
        <w:spacing w:after="20" w:before="0" w:line="240" w:lineRule="auto"/>
      </w:pPr>
      <w:r>
        <w:rPr>
          <w:sz w:val="4"/>
        </w:rPr>
      </w:r>
    </w:p>
    <w:p>
      <w:pPr>
        <w:pStyle w:val="Heading1"/>
      </w:pPr>
      <w:r>
        <w:t>Plan para los desvíos</w:t>
      </w:r>
    </w:p>
    <w:p>
      <w:pPr>
        <w:pStyle w:val="ListBullet"/>
      </w:pPr>
      <w:r>
        <w:t>Entrega: confirmar fecha según disponibilidad real y medir causa de cada demora. Logística propone piloto de consolidación de rutas para febrero de 2026. La mejora se valida sin trasladar un retraso al cliente.</w:t>
      </w:r>
    </w:p>
    <w:p>
      <w:pPr>
        <w:pStyle w:val="ListBullet"/>
      </w:pPr>
      <w:r>
        <w:t>Satisfacción: reducir tiempos de respuesta de posventa y comunicar pendientes con fecha comprometida. Servicio al cliente revisará una muestra de reclamos repetidos.</w:t>
      </w:r>
    </w:p>
    <w:p>
      <w:pPr>
        <w:pStyle w:val="ListBullet"/>
      </w:pPr>
      <w:r>
        <w:t>Devoluciones: revisar información de compatibilidad y conservar el motivo de devolución. E-commerce y Ventas B2C controlarán cambios de catálogo.</w:t>
      </w:r>
    </w:p>
    <w:p>
      <w:pPr>
        <w:pStyle w:val="ListBullet"/>
      </w:pPr>
      <w:r>
        <w:t>Competencia: mantener supervisión del participante pendiente hasta completar evaluación. Talento humano no marcará el resultado como aprobado para alcanzar la meta.</w:t>
      </w:r>
    </w:p>
    <w:p>
      <w:pPr>
        <w:pStyle w:val="ListBullet"/>
      </w:pPr>
      <w:r>
        <w:t>Acciones: Dirección revisará los casos vencidos y asignará recursos; la fecha de cierre solo se registra después de validar la evidencia.</w:t>
      </w:r>
    </w:p>
    <w:p>
      <w:pPr>
        <w:pStyle w:val="Heading1"/>
      </w:pPr>
      <w:r>
        <w:t>Contexto comercial</w:t>
      </w:r>
    </w:p>
    <w:p>
      <w:r>
        <w:t>La referencia financiera FY2025 es COP 36.000.000.000, distribuida en COP 21.600.000.000 B2B y COP 14.400.000.000 B2C. El volumen modelado es 144 proyectos B2B y 6.000 órdenes B2C. Estos valores contextualizan el tamaño de la operación; no se consideran por sí solos evidencia de calidad ni representan un estado financiero real.</w:t>
      </w:r>
    </w:p>
    <w:p>
      <w:pPr>
        <w:pStyle w:val="Heading1"/>
      </w:pPr>
      <w:r>
        <w:t>Aprobación y actualización</w:t>
      </w:r>
    </w:p>
    <w:p>
      <w:r>
        <w:t>Dirección aprueba las metas para el siguiente ciclo y los recursos asociados. El cierre del 31 de diciembre complementa la revisión gerencial del 15 de diciembre, que utiliza el corte disponible a esa fecha. Toda corrección de un dato conserva el valor anterior, el motivo y la evidencia del recálculo.</w:t>
      </w:r>
    </w:p>
    <w:p>
      <w:pPr>
        <w:pStyle w:val="Heading1"/>
      </w:pPr>
      <w:r>
        <w:t>Documentos relacionados</w:t>
      </w:r>
    </w:p>
    <w:p>
      <w:r>
        <w:t>CC-AC-01 | CC-PR-04 | CC-MT-01</w:t>
      </w:r>
    </w:p>
    <w:p>
      <w:pPr>
        <w:pStyle w:val="Heading1"/>
      </w:pPr>
      <w:r>
        <w:t>Historial de cambios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43"/>
        <w:gridCol w:w="4270"/>
        <w:gridCol w:w="3253"/>
      </w:tblGrid>
      <w:tr>
        <w:trPr>
          <w:tblHeader w:val="true"/>
          <w:cantSplit/>
        </w:trPr>
        <w:tc>
          <w:tcPr>
            <w:tcW w:type="dxa" w:w="264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Revisión</w:t>
            </w:r>
          </w:p>
        </w:tc>
        <w:tc>
          <w:tcPr>
            <w:tcW w:type="dxa" w:w="427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Fecha</w:t>
            </w:r>
          </w:p>
        </w:tc>
        <w:tc>
          <w:tcPr>
            <w:tcW w:type="dxa" w:w="325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Cambio registrado</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02</w:t>
            </w:r>
          </w:p>
        </w:tc>
        <w:tc>
          <w:tcPr>
            <w:tcW w:type="dxa" w:w="4270"/>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2025-12-31</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Ajuste del alcance, responsables y evidencia del ciclo operativo 2025.</w:t>
            </w:r>
          </w:p>
        </w:tc>
      </w:tr>
    </w:tbl>
    <w:p>
      <w:pPr>
        <w:spacing w:after="20" w:before="0" w:line="240" w:lineRule="auto"/>
      </w:pPr>
      <w:r>
        <w:rPr>
          <w:sz w:val="4"/>
        </w:rPr>
      </w:r>
    </w:p>
    <w:p>
      <w:r>
        <w:br w:type="page"/>
      </w:r>
    </w:p>
    <w:p>
      <w:pPr>
        <w:pStyle w:val="Title"/>
      </w:pPr>
      <w:r>
        <w:t>Organización sedes y personal de referencia</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0"/>
        <w:gridCol w:w="2847"/>
        <w:gridCol w:w="2440"/>
        <w:gridCol w:w="2440"/>
      </w:tblGrid>
      <w:tr>
        <w:trPr>
          <w:tblHeader w:val="true"/>
          <w:cantSplit/>
        </w:trPr>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Código</w:t>
            </w:r>
          </w:p>
        </w:tc>
        <w:tc>
          <w:tcPr>
            <w:tcW w:type="dxa" w:w="2847"/>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Revisión</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Emisión</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Estado</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CC-AN-01</w:t>
            </w:r>
          </w:p>
        </w:tc>
        <w:tc>
          <w:tcPr>
            <w:tcW w:type="dxa" w:w="284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01</w:t>
            </w:r>
          </w:p>
        </w:tc>
        <w:tc>
          <w:tcPr>
            <w:tcW w:type="dxa" w:w="2440"/>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2025-12-31</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Vigente</w:t>
            </w:r>
          </w:p>
        </w:tc>
      </w:tr>
    </w:tbl>
    <w:p>
      <w:pPr>
        <w:spacing w:after="20" w:before="0" w:line="240" w:lineRule="auto"/>
      </w:pPr>
      <w:r>
        <w:rPr>
          <w:sz w:val="4"/>
        </w:rPr>
      </w:r>
    </w:p>
    <w:p>
      <w:pPr>
        <w:spacing w:after="60"/>
      </w:pPr>
      <w:r>
        <w:rPr>
          <w:b/>
        </w:rPr>
        <w:t xml:space="preserve">Tipo y área: </w:t>
      </w:r>
      <w:r>
        <w:t>Anexo | Dirección general</w:t>
      </w:r>
    </w:p>
    <w:p>
      <w:pPr>
        <w:spacing w:after="60"/>
      </w:pPr>
      <w:r>
        <w:rPr>
          <w:b/>
        </w:rPr>
        <w:t xml:space="preserve">Responsable: </w:t>
      </w:r>
      <w:r>
        <w:t>Valentina Ríos</w:t>
      </w:r>
    </w:p>
    <w:p>
      <w:pPr>
        <w:spacing w:after="60"/>
      </w:pPr>
      <w:r>
        <w:rPr>
          <w:b/>
        </w:rPr>
        <w:t xml:space="preserve">Aprobación interna: </w:t>
      </w:r>
      <w:r>
        <w:t>Valentina Ríos</w:t>
      </w:r>
    </w:p>
    <w:p>
      <w:pPr>
        <w:spacing w:before="100"/>
      </w:pPr>
      <w:r>
        <w:t>Describe la estructura de Company Co y sus sedes. El total de personal incluye a las personas registradas como inactivas o en vacaciones; no equivale a la disponibilidad operativa del día.</w:t>
      </w:r>
    </w:p>
    <w:p>
      <w:r>
        <w:rPr>
          <w:sz w:val="18"/>
        </w:rPr>
        <w:t>Referencia temática ISO 9001:2015: 4.4, 5.3, 7.5.</w:t>
      </w:r>
    </w:p>
    <w:p>
      <w:pPr>
        <w:pStyle w:val="Heading1"/>
      </w:pPr>
      <w:r>
        <w:t>Identidad y dimensión</w:t>
      </w:r>
    </w:p>
    <w:p>
      <w:r>
        <w:t>Company Co S.A.S. inició su actividad el 12 de octubre de 2021 en Bogotá, Colombia. Atiende proyectos de cafeterías y comercializa equipos, mobiliario, café e insumos a nivel nacional. Opera con COP, es-CO y zona horaria America/Bogota. Su estructura de referencia incluye 200 registros de empleados y 17 departamentos.</w:t>
      </w:r>
    </w:p>
    <w:p>
      <w:r>
        <w:t>La base de personal contiene 182 personas con estado Activo, 10 con estado Inactivo y 8 en Vacaciones. Se conservan los 200 identificadores únicos para trazabilidad. El dato de 200 corresponde al universo documental de la compañía, mientras la asignación diaria de trabajo comprueba disponibilidad, competencia y autorización.</w:t>
      </w:r>
    </w:p>
    <w:p>
      <w:pPr>
        <w:pStyle w:val="Heading1"/>
      </w:pPr>
      <w:r>
        <w:t>Estructura por departamento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745"/>
        <w:gridCol w:w="1220"/>
        <w:gridCol w:w="4067"/>
        <w:gridCol w:w="2135"/>
      </w:tblGrid>
      <w:tr>
        <w:trPr>
          <w:tblHeader w:val="true"/>
          <w:cantSplit/>
        </w:trPr>
        <w:tc>
          <w:tcPr>
            <w:tcW w:type="dxa" w:w="2745"/>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Departamento</w:t>
            </w:r>
          </w:p>
        </w:tc>
        <w:tc>
          <w:tcPr>
            <w:tcW w:type="dxa" w:w="122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Personas</w:t>
            </w:r>
          </w:p>
        </w:tc>
        <w:tc>
          <w:tcPr>
            <w:tcW w:type="dxa" w:w="4067"/>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Líder titular</w:t>
            </w:r>
          </w:p>
        </w:tc>
        <w:tc>
          <w:tcPr>
            <w:tcW w:type="dxa" w:w="2135"/>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Proceso</w:t>
            </w:r>
          </w:p>
        </w:tc>
      </w:tr>
      <w:tr>
        <w:trPr>
          <w:cantSplit/>
        </w:trPr>
        <w:tc>
          <w:tcPr>
            <w:tcW w:type="dxa" w:w="2745"/>
            <w:vAlign w:val="center"/>
            <w:tcMar>
              <w:top w:w="75" w:type="dxa"/>
              <w:bottom w:w="75" w:type="dxa"/>
              <w:left w:w="90" w:type="dxa"/>
              <w:right w:w="90" w:type="dxa"/>
            </w:tcMar>
          </w:tcPr>
          <w:p>
            <w:pPr>
              <w:keepNext w:val="0"/>
              <w:widowControl/>
              <w:spacing w:before="0" w:after="20" w:line="240" w:lineRule="auto"/>
            </w:pPr>
            <w:r>
              <w:rPr>
                <w:b w:val="0"/>
                <w:color w:val="000000"/>
                <w:sz w:val="18"/>
              </w:rPr>
              <w:t>Dirección general</w:t>
            </w:r>
          </w:p>
        </w:tc>
        <w:tc>
          <w:tcPr>
            <w:tcW w:type="dxa" w:w="1220"/>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8</w:t>
            </w:r>
          </w:p>
        </w:tc>
        <w:tc>
          <w:tcPr>
            <w:tcW w:type="dxa" w:w="4067"/>
            <w:vAlign w:val="center"/>
            <w:tcMar>
              <w:top w:w="75" w:type="dxa"/>
              <w:bottom w:w="75" w:type="dxa"/>
              <w:left w:w="90" w:type="dxa"/>
              <w:right w:w="90" w:type="dxa"/>
            </w:tcMar>
          </w:tcPr>
          <w:p>
            <w:pPr>
              <w:keepNext w:val="0"/>
              <w:widowControl/>
              <w:spacing w:before="0" w:after="20" w:line="240" w:lineRule="auto"/>
            </w:pPr>
            <w:r>
              <w:rPr>
                <w:b w:val="0"/>
                <w:color w:val="000000"/>
                <w:sz w:val="18"/>
              </w:rPr>
              <w:t>Valentina Ríos</w:t>
            </w:r>
          </w:p>
        </w:tc>
        <w:tc>
          <w:tcPr>
            <w:tcW w:type="dxa" w:w="2135"/>
            <w:vAlign w:val="center"/>
            <w:tcMar>
              <w:top w:w="75" w:type="dxa"/>
              <w:bottom w:w="75" w:type="dxa"/>
              <w:left w:w="90" w:type="dxa"/>
              <w:right w:w="90" w:type="dxa"/>
            </w:tcMar>
          </w:tcPr>
          <w:p>
            <w:pPr>
              <w:keepNext w:val="0"/>
              <w:widowControl/>
              <w:spacing w:before="0" w:after="20" w:line="240" w:lineRule="auto"/>
            </w:pPr>
            <w:r>
              <w:rPr>
                <w:b w:val="0"/>
                <w:color w:val="000000"/>
                <w:sz w:val="18"/>
              </w:rPr>
              <w:t>CC-CP-01</w:t>
            </w:r>
          </w:p>
        </w:tc>
      </w:tr>
      <w:tr>
        <w:trPr>
          <w:cantSplit/>
        </w:trPr>
        <w:tc>
          <w:tcPr>
            <w:tcW w:type="dxa" w:w="2745"/>
            <w:vAlign w:val="center"/>
            <w:tcMar>
              <w:top w:w="75" w:type="dxa"/>
              <w:bottom w:w="75" w:type="dxa"/>
              <w:left w:w="90" w:type="dxa"/>
              <w:right w:w="90" w:type="dxa"/>
            </w:tcMar>
          </w:tcPr>
          <w:p>
            <w:pPr>
              <w:keepNext w:val="0"/>
              <w:widowControl/>
              <w:spacing w:before="0" w:after="20" w:line="240" w:lineRule="auto"/>
            </w:pPr>
            <w:r>
              <w:rPr>
                <w:b w:val="0"/>
                <w:color w:val="000000"/>
                <w:sz w:val="18"/>
              </w:rPr>
              <w:t>Finanzas</w:t>
            </w:r>
          </w:p>
        </w:tc>
        <w:tc>
          <w:tcPr>
            <w:tcW w:type="dxa" w:w="1220"/>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10</w:t>
            </w:r>
          </w:p>
        </w:tc>
        <w:tc>
          <w:tcPr>
            <w:tcW w:type="dxa" w:w="4067"/>
            <w:vAlign w:val="center"/>
            <w:tcMar>
              <w:top w:w="75" w:type="dxa"/>
              <w:bottom w:w="75" w:type="dxa"/>
              <w:left w:w="90" w:type="dxa"/>
              <w:right w:w="90" w:type="dxa"/>
            </w:tcMar>
          </w:tcPr>
          <w:p>
            <w:pPr>
              <w:keepNext w:val="0"/>
              <w:widowControl/>
              <w:spacing w:before="0" w:after="20" w:line="240" w:lineRule="auto"/>
            </w:pPr>
            <w:r>
              <w:rPr>
                <w:b w:val="0"/>
                <w:color w:val="000000"/>
                <w:sz w:val="18"/>
              </w:rPr>
              <w:t>Mateo Salcedo</w:t>
            </w:r>
          </w:p>
        </w:tc>
        <w:tc>
          <w:tcPr>
            <w:tcW w:type="dxa" w:w="2135"/>
            <w:vAlign w:val="center"/>
            <w:tcMar>
              <w:top w:w="75" w:type="dxa"/>
              <w:bottom w:w="75" w:type="dxa"/>
              <w:left w:w="90" w:type="dxa"/>
              <w:right w:w="90" w:type="dxa"/>
            </w:tcMar>
          </w:tcPr>
          <w:p>
            <w:pPr>
              <w:keepNext w:val="0"/>
              <w:widowControl/>
              <w:spacing w:before="0" w:after="20" w:line="240" w:lineRule="auto"/>
            </w:pPr>
            <w:r>
              <w:rPr>
                <w:b w:val="0"/>
                <w:color w:val="000000"/>
                <w:sz w:val="18"/>
              </w:rPr>
              <w:t>CC-CP-02</w:t>
            </w:r>
          </w:p>
        </w:tc>
      </w:tr>
      <w:tr>
        <w:trPr>
          <w:cantSplit/>
        </w:trPr>
        <w:tc>
          <w:tcPr>
            <w:tcW w:type="dxa" w:w="2745"/>
            <w:vAlign w:val="center"/>
            <w:tcMar>
              <w:top w:w="75" w:type="dxa"/>
              <w:bottom w:w="75" w:type="dxa"/>
              <w:left w:w="90" w:type="dxa"/>
              <w:right w:w="90" w:type="dxa"/>
            </w:tcMar>
          </w:tcPr>
          <w:p>
            <w:pPr>
              <w:keepNext w:val="0"/>
              <w:widowControl/>
              <w:spacing w:before="0" w:after="20" w:line="240" w:lineRule="auto"/>
            </w:pPr>
            <w:r>
              <w:rPr>
                <w:b w:val="0"/>
                <w:color w:val="000000"/>
                <w:sz w:val="18"/>
              </w:rPr>
              <w:t>Talento humano</w:t>
            </w:r>
          </w:p>
        </w:tc>
        <w:tc>
          <w:tcPr>
            <w:tcW w:type="dxa" w:w="1220"/>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14</w:t>
            </w:r>
          </w:p>
        </w:tc>
        <w:tc>
          <w:tcPr>
            <w:tcW w:type="dxa" w:w="4067"/>
            <w:vAlign w:val="center"/>
            <w:tcMar>
              <w:top w:w="75" w:type="dxa"/>
              <w:bottom w:w="75" w:type="dxa"/>
              <w:left w:w="90" w:type="dxa"/>
              <w:right w:w="90" w:type="dxa"/>
            </w:tcMar>
          </w:tcPr>
          <w:p>
            <w:pPr>
              <w:keepNext w:val="0"/>
              <w:widowControl/>
              <w:spacing w:before="0" w:after="20" w:line="240" w:lineRule="auto"/>
            </w:pPr>
            <w:r>
              <w:rPr>
                <w:b w:val="0"/>
                <w:color w:val="000000"/>
                <w:sz w:val="18"/>
              </w:rPr>
              <w:t>Camila Duarte</w:t>
            </w:r>
          </w:p>
        </w:tc>
        <w:tc>
          <w:tcPr>
            <w:tcW w:type="dxa" w:w="2135"/>
            <w:vAlign w:val="center"/>
            <w:tcMar>
              <w:top w:w="75" w:type="dxa"/>
              <w:bottom w:w="75" w:type="dxa"/>
              <w:left w:w="90" w:type="dxa"/>
              <w:right w:w="90" w:type="dxa"/>
            </w:tcMar>
          </w:tcPr>
          <w:p>
            <w:pPr>
              <w:keepNext w:val="0"/>
              <w:widowControl/>
              <w:spacing w:before="0" w:after="20" w:line="240" w:lineRule="auto"/>
            </w:pPr>
            <w:r>
              <w:rPr>
                <w:b w:val="0"/>
                <w:color w:val="000000"/>
                <w:sz w:val="18"/>
              </w:rPr>
              <w:t>CC-CP-03</w:t>
            </w:r>
          </w:p>
        </w:tc>
      </w:tr>
      <w:tr>
        <w:trPr>
          <w:cantSplit/>
        </w:trPr>
        <w:tc>
          <w:tcPr>
            <w:tcW w:type="dxa" w:w="2745"/>
            <w:vAlign w:val="center"/>
            <w:tcMar>
              <w:top w:w="75" w:type="dxa"/>
              <w:bottom w:w="75" w:type="dxa"/>
              <w:left w:w="90" w:type="dxa"/>
              <w:right w:w="90" w:type="dxa"/>
            </w:tcMar>
          </w:tcPr>
          <w:p>
            <w:pPr>
              <w:keepNext w:val="0"/>
              <w:widowControl/>
              <w:spacing w:before="0" w:after="20" w:line="240" w:lineRule="auto"/>
            </w:pPr>
            <w:r>
              <w:rPr>
                <w:b w:val="0"/>
                <w:color w:val="000000"/>
                <w:sz w:val="18"/>
              </w:rPr>
              <w:t>Consultoría B2B</w:t>
            </w:r>
          </w:p>
        </w:tc>
        <w:tc>
          <w:tcPr>
            <w:tcW w:type="dxa" w:w="1220"/>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18</w:t>
            </w:r>
          </w:p>
        </w:tc>
        <w:tc>
          <w:tcPr>
            <w:tcW w:type="dxa" w:w="4067"/>
            <w:vAlign w:val="center"/>
            <w:tcMar>
              <w:top w:w="75" w:type="dxa"/>
              <w:bottom w:w="75" w:type="dxa"/>
              <w:left w:w="90" w:type="dxa"/>
              <w:right w:w="90" w:type="dxa"/>
            </w:tcMar>
          </w:tcPr>
          <w:p>
            <w:pPr>
              <w:keepNext w:val="0"/>
              <w:widowControl/>
              <w:spacing w:before="0" w:after="20" w:line="240" w:lineRule="auto"/>
            </w:pPr>
            <w:r>
              <w:rPr>
                <w:b w:val="0"/>
                <w:color w:val="000000"/>
                <w:sz w:val="18"/>
              </w:rPr>
              <w:t>Andrés Molina</w:t>
            </w:r>
          </w:p>
        </w:tc>
        <w:tc>
          <w:tcPr>
            <w:tcW w:type="dxa" w:w="2135"/>
            <w:vAlign w:val="center"/>
            <w:tcMar>
              <w:top w:w="75" w:type="dxa"/>
              <w:bottom w:w="75" w:type="dxa"/>
              <w:left w:w="90" w:type="dxa"/>
              <w:right w:w="90" w:type="dxa"/>
            </w:tcMar>
          </w:tcPr>
          <w:p>
            <w:pPr>
              <w:keepNext w:val="0"/>
              <w:widowControl/>
              <w:spacing w:before="0" w:after="20" w:line="240" w:lineRule="auto"/>
            </w:pPr>
            <w:r>
              <w:rPr>
                <w:b w:val="0"/>
                <w:color w:val="000000"/>
                <w:sz w:val="18"/>
              </w:rPr>
              <w:t>CC-CP-04</w:t>
            </w:r>
          </w:p>
        </w:tc>
      </w:tr>
      <w:tr>
        <w:trPr>
          <w:cantSplit/>
        </w:trPr>
        <w:tc>
          <w:tcPr>
            <w:tcW w:type="dxa" w:w="2745"/>
            <w:vAlign w:val="center"/>
            <w:tcMar>
              <w:top w:w="75" w:type="dxa"/>
              <w:bottom w:w="75" w:type="dxa"/>
              <w:left w:w="90" w:type="dxa"/>
              <w:right w:w="90" w:type="dxa"/>
            </w:tcMar>
          </w:tcPr>
          <w:p>
            <w:pPr>
              <w:keepNext w:val="0"/>
              <w:widowControl/>
              <w:spacing w:before="0" w:after="20" w:line="240" w:lineRule="auto"/>
            </w:pPr>
            <w:r>
              <w:rPr>
                <w:b w:val="0"/>
                <w:color w:val="000000"/>
                <w:sz w:val="18"/>
              </w:rPr>
              <w:t>Ventas B2C</w:t>
            </w:r>
          </w:p>
        </w:tc>
        <w:tc>
          <w:tcPr>
            <w:tcW w:type="dxa" w:w="1220"/>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16</w:t>
            </w:r>
          </w:p>
        </w:tc>
        <w:tc>
          <w:tcPr>
            <w:tcW w:type="dxa" w:w="4067"/>
            <w:vAlign w:val="center"/>
            <w:tcMar>
              <w:top w:w="75" w:type="dxa"/>
              <w:bottom w:w="75" w:type="dxa"/>
              <w:left w:w="90" w:type="dxa"/>
              <w:right w:w="90" w:type="dxa"/>
            </w:tcMar>
          </w:tcPr>
          <w:p>
            <w:pPr>
              <w:keepNext w:val="0"/>
              <w:widowControl/>
              <w:spacing w:before="0" w:after="20" w:line="240" w:lineRule="auto"/>
            </w:pPr>
            <w:r>
              <w:rPr>
                <w:b w:val="0"/>
                <w:color w:val="000000"/>
                <w:sz w:val="18"/>
              </w:rPr>
              <w:t>Juliana Franco</w:t>
            </w:r>
          </w:p>
        </w:tc>
        <w:tc>
          <w:tcPr>
            <w:tcW w:type="dxa" w:w="2135"/>
            <w:vAlign w:val="center"/>
            <w:tcMar>
              <w:top w:w="75" w:type="dxa"/>
              <w:bottom w:w="75" w:type="dxa"/>
              <w:left w:w="90" w:type="dxa"/>
              <w:right w:w="90" w:type="dxa"/>
            </w:tcMar>
          </w:tcPr>
          <w:p>
            <w:pPr>
              <w:keepNext w:val="0"/>
              <w:widowControl/>
              <w:spacing w:before="0" w:after="20" w:line="240" w:lineRule="auto"/>
            </w:pPr>
            <w:r>
              <w:rPr>
                <w:b w:val="0"/>
                <w:color w:val="000000"/>
                <w:sz w:val="18"/>
              </w:rPr>
              <w:t>CC-CP-05</w:t>
            </w:r>
          </w:p>
        </w:tc>
      </w:tr>
      <w:tr>
        <w:trPr>
          <w:cantSplit/>
        </w:trPr>
        <w:tc>
          <w:tcPr>
            <w:tcW w:type="dxa" w:w="2745"/>
            <w:vAlign w:val="center"/>
            <w:tcMar>
              <w:top w:w="75" w:type="dxa"/>
              <w:bottom w:w="75" w:type="dxa"/>
              <w:left w:w="90" w:type="dxa"/>
              <w:right w:w="90" w:type="dxa"/>
            </w:tcMar>
          </w:tcPr>
          <w:p>
            <w:pPr>
              <w:keepNext w:val="0"/>
              <w:widowControl/>
              <w:spacing w:before="0" w:after="20" w:line="240" w:lineRule="auto"/>
            </w:pPr>
            <w:r>
              <w:rPr>
                <w:b w:val="0"/>
                <w:color w:val="000000"/>
                <w:sz w:val="18"/>
              </w:rPr>
              <w:t>Ventas B2B</w:t>
            </w:r>
          </w:p>
        </w:tc>
        <w:tc>
          <w:tcPr>
            <w:tcW w:type="dxa" w:w="1220"/>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12</w:t>
            </w:r>
          </w:p>
        </w:tc>
        <w:tc>
          <w:tcPr>
            <w:tcW w:type="dxa" w:w="4067"/>
            <w:vAlign w:val="center"/>
            <w:tcMar>
              <w:top w:w="75" w:type="dxa"/>
              <w:bottom w:w="75" w:type="dxa"/>
              <w:left w:w="90" w:type="dxa"/>
              <w:right w:w="90" w:type="dxa"/>
            </w:tcMar>
          </w:tcPr>
          <w:p>
            <w:pPr>
              <w:keepNext w:val="0"/>
              <w:widowControl/>
              <w:spacing w:before="0" w:after="20" w:line="240" w:lineRule="auto"/>
            </w:pPr>
            <w:r>
              <w:rPr>
                <w:b w:val="0"/>
                <w:color w:val="000000"/>
                <w:sz w:val="18"/>
              </w:rPr>
              <w:t>Sebastián Vélez</w:t>
            </w:r>
          </w:p>
        </w:tc>
        <w:tc>
          <w:tcPr>
            <w:tcW w:type="dxa" w:w="2135"/>
            <w:vAlign w:val="center"/>
            <w:tcMar>
              <w:top w:w="75" w:type="dxa"/>
              <w:bottom w:w="75" w:type="dxa"/>
              <w:left w:w="90" w:type="dxa"/>
              <w:right w:w="90" w:type="dxa"/>
            </w:tcMar>
          </w:tcPr>
          <w:p>
            <w:pPr>
              <w:keepNext w:val="0"/>
              <w:widowControl/>
              <w:spacing w:before="0" w:after="20" w:line="240" w:lineRule="auto"/>
            </w:pPr>
            <w:r>
              <w:rPr>
                <w:b w:val="0"/>
                <w:color w:val="000000"/>
                <w:sz w:val="18"/>
              </w:rPr>
              <w:t>CC-CP-06</w:t>
            </w:r>
          </w:p>
        </w:tc>
      </w:tr>
      <w:tr>
        <w:trPr>
          <w:cantSplit/>
        </w:trPr>
        <w:tc>
          <w:tcPr>
            <w:tcW w:type="dxa" w:w="2745"/>
            <w:vAlign w:val="center"/>
            <w:tcMar>
              <w:top w:w="75" w:type="dxa"/>
              <w:bottom w:w="75" w:type="dxa"/>
              <w:left w:w="90" w:type="dxa"/>
              <w:right w:w="90" w:type="dxa"/>
            </w:tcMar>
          </w:tcPr>
          <w:p>
            <w:pPr>
              <w:keepNext w:val="0"/>
              <w:widowControl/>
              <w:spacing w:before="0" w:after="20" w:line="240" w:lineRule="auto"/>
            </w:pPr>
            <w:r>
              <w:rPr>
                <w:b w:val="0"/>
                <w:color w:val="000000"/>
                <w:sz w:val="18"/>
              </w:rPr>
              <w:t>Marketing</w:t>
            </w:r>
          </w:p>
        </w:tc>
        <w:tc>
          <w:tcPr>
            <w:tcW w:type="dxa" w:w="1220"/>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10</w:t>
            </w:r>
          </w:p>
        </w:tc>
        <w:tc>
          <w:tcPr>
            <w:tcW w:type="dxa" w:w="4067"/>
            <w:vAlign w:val="center"/>
            <w:tcMar>
              <w:top w:w="75" w:type="dxa"/>
              <w:bottom w:w="75" w:type="dxa"/>
              <w:left w:w="90" w:type="dxa"/>
              <w:right w:w="90" w:type="dxa"/>
            </w:tcMar>
          </w:tcPr>
          <w:p>
            <w:pPr>
              <w:keepNext w:val="0"/>
              <w:widowControl/>
              <w:spacing w:before="0" w:after="20" w:line="240" w:lineRule="auto"/>
            </w:pPr>
            <w:r>
              <w:rPr>
                <w:b w:val="0"/>
                <w:color w:val="000000"/>
                <w:sz w:val="18"/>
              </w:rPr>
              <w:t>Laura Pardo</w:t>
            </w:r>
          </w:p>
        </w:tc>
        <w:tc>
          <w:tcPr>
            <w:tcW w:type="dxa" w:w="2135"/>
            <w:vAlign w:val="center"/>
            <w:tcMar>
              <w:top w:w="75" w:type="dxa"/>
              <w:bottom w:w="75" w:type="dxa"/>
              <w:left w:w="90" w:type="dxa"/>
              <w:right w:w="90" w:type="dxa"/>
            </w:tcMar>
          </w:tcPr>
          <w:p>
            <w:pPr>
              <w:keepNext w:val="0"/>
              <w:widowControl/>
              <w:spacing w:before="0" w:after="20" w:line="240" w:lineRule="auto"/>
            </w:pPr>
            <w:r>
              <w:rPr>
                <w:b w:val="0"/>
                <w:color w:val="000000"/>
                <w:sz w:val="18"/>
              </w:rPr>
              <w:t>CC-CP-07</w:t>
            </w:r>
          </w:p>
        </w:tc>
      </w:tr>
      <w:tr>
        <w:trPr>
          <w:cantSplit/>
        </w:trPr>
        <w:tc>
          <w:tcPr>
            <w:tcW w:type="dxa" w:w="2745"/>
            <w:vAlign w:val="center"/>
            <w:tcMar>
              <w:top w:w="75" w:type="dxa"/>
              <w:bottom w:w="75" w:type="dxa"/>
              <w:left w:w="90" w:type="dxa"/>
              <w:right w:w="90" w:type="dxa"/>
            </w:tcMar>
          </w:tcPr>
          <w:p>
            <w:pPr>
              <w:keepNext w:val="0"/>
              <w:widowControl/>
              <w:spacing w:before="0" w:after="20" w:line="240" w:lineRule="auto"/>
            </w:pPr>
            <w:r>
              <w:rPr>
                <w:b w:val="0"/>
                <w:color w:val="000000"/>
                <w:sz w:val="18"/>
              </w:rPr>
              <w:t>E-commerce</w:t>
            </w:r>
          </w:p>
        </w:tc>
        <w:tc>
          <w:tcPr>
            <w:tcW w:type="dxa" w:w="1220"/>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8</w:t>
            </w:r>
          </w:p>
        </w:tc>
        <w:tc>
          <w:tcPr>
            <w:tcW w:type="dxa" w:w="4067"/>
            <w:vAlign w:val="center"/>
            <w:tcMar>
              <w:top w:w="75" w:type="dxa"/>
              <w:bottom w:w="75" w:type="dxa"/>
              <w:left w:w="90" w:type="dxa"/>
              <w:right w:w="90" w:type="dxa"/>
            </w:tcMar>
          </w:tcPr>
          <w:p>
            <w:pPr>
              <w:keepNext w:val="0"/>
              <w:widowControl/>
              <w:spacing w:before="0" w:after="20" w:line="240" w:lineRule="auto"/>
            </w:pPr>
            <w:r>
              <w:rPr>
                <w:b w:val="0"/>
                <w:color w:val="000000"/>
                <w:sz w:val="18"/>
              </w:rPr>
              <w:t>Nicolás Acosta</w:t>
            </w:r>
          </w:p>
        </w:tc>
        <w:tc>
          <w:tcPr>
            <w:tcW w:type="dxa" w:w="2135"/>
            <w:vAlign w:val="center"/>
            <w:tcMar>
              <w:top w:w="75" w:type="dxa"/>
              <w:bottom w:w="75" w:type="dxa"/>
              <w:left w:w="90" w:type="dxa"/>
              <w:right w:w="90" w:type="dxa"/>
            </w:tcMar>
          </w:tcPr>
          <w:p>
            <w:pPr>
              <w:keepNext w:val="0"/>
              <w:widowControl/>
              <w:spacing w:before="0" w:after="20" w:line="240" w:lineRule="auto"/>
            </w:pPr>
            <w:r>
              <w:rPr>
                <w:b w:val="0"/>
                <w:color w:val="000000"/>
                <w:sz w:val="18"/>
              </w:rPr>
              <w:t>CC-CP-08</w:t>
            </w:r>
          </w:p>
        </w:tc>
      </w:tr>
      <w:tr>
        <w:trPr>
          <w:cantSplit/>
        </w:trPr>
        <w:tc>
          <w:tcPr>
            <w:tcW w:type="dxa" w:w="2745"/>
            <w:vAlign w:val="center"/>
            <w:tcMar>
              <w:top w:w="75" w:type="dxa"/>
              <w:bottom w:w="75" w:type="dxa"/>
              <w:left w:w="90" w:type="dxa"/>
              <w:right w:w="90" w:type="dxa"/>
            </w:tcMar>
          </w:tcPr>
          <w:p>
            <w:pPr>
              <w:keepNext w:val="0"/>
              <w:widowControl/>
              <w:spacing w:before="0" w:after="20" w:line="240" w:lineRule="auto"/>
            </w:pPr>
            <w:r>
              <w:rPr>
                <w:b w:val="0"/>
                <w:color w:val="000000"/>
                <w:sz w:val="18"/>
              </w:rPr>
              <w:t>Compras</w:t>
            </w:r>
          </w:p>
        </w:tc>
        <w:tc>
          <w:tcPr>
            <w:tcW w:type="dxa" w:w="1220"/>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13</w:t>
            </w:r>
          </w:p>
        </w:tc>
        <w:tc>
          <w:tcPr>
            <w:tcW w:type="dxa" w:w="4067"/>
            <w:vAlign w:val="center"/>
            <w:tcMar>
              <w:top w:w="75" w:type="dxa"/>
              <w:bottom w:w="75" w:type="dxa"/>
              <w:left w:w="90" w:type="dxa"/>
              <w:right w:w="90" w:type="dxa"/>
            </w:tcMar>
          </w:tcPr>
          <w:p>
            <w:pPr>
              <w:keepNext w:val="0"/>
              <w:widowControl/>
              <w:spacing w:before="0" w:after="20" w:line="240" w:lineRule="auto"/>
            </w:pPr>
            <w:r>
              <w:rPr>
                <w:b w:val="0"/>
                <w:color w:val="000000"/>
                <w:sz w:val="18"/>
              </w:rPr>
              <w:t>Daniela Suárez</w:t>
            </w:r>
          </w:p>
        </w:tc>
        <w:tc>
          <w:tcPr>
            <w:tcW w:type="dxa" w:w="2135"/>
            <w:vAlign w:val="center"/>
            <w:tcMar>
              <w:top w:w="75" w:type="dxa"/>
              <w:bottom w:w="75" w:type="dxa"/>
              <w:left w:w="90" w:type="dxa"/>
              <w:right w:w="90" w:type="dxa"/>
            </w:tcMar>
          </w:tcPr>
          <w:p>
            <w:pPr>
              <w:keepNext w:val="0"/>
              <w:widowControl/>
              <w:spacing w:before="0" w:after="20" w:line="240" w:lineRule="auto"/>
            </w:pPr>
            <w:r>
              <w:rPr>
                <w:b w:val="0"/>
                <w:color w:val="000000"/>
                <w:sz w:val="18"/>
              </w:rPr>
              <w:t>CC-CP-09</w:t>
            </w:r>
          </w:p>
        </w:tc>
      </w:tr>
      <w:tr>
        <w:trPr>
          <w:cantSplit/>
        </w:trPr>
        <w:tc>
          <w:tcPr>
            <w:tcW w:type="dxa" w:w="2745"/>
            <w:vAlign w:val="center"/>
            <w:tcMar>
              <w:top w:w="75" w:type="dxa"/>
              <w:bottom w:w="75" w:type="dxa"/>
              <w:left w:w="90" w:type="dxa"/>
              <w:right w:w="90" w:type="dxa"/>
            </w:tcMar>
          </w:tcPr>
          <w:p>
            <w:pPr>
              <w:keepNext w:val="0"/>
              <w:widowControl/>
              <w:spacing w:before="0" w:after="20" w:line="240" w:lineRule="auto"/>
            </w:pPr>
            <w:r>
              <w:rPr>
                <w:b w:val="0"/>
                <w:color w:val="000000"/>
                <w:sz w:val="18"/>
              </w:rPr>
              <w:t>Logística</w:t>
            </w:r>
          </w:p>
        </w:tc>
        <w:tc>
          <w:tcPr>
            <w:tcW w:type="dxa" w:w="1220"/>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9</w:t>
            </w:r>
          </w:p>
        </w:tc>
        <w:tc>
          <w:tcPr>
            <w:tcW w:type="dxa" w:w="4067"/>
            <w:vAlign w:val="center"/>
            <w:tcMar>
              <w:top w:w="75" w:type="dxa"/>
              <w:bottom w:w="75" w:type="dxa"/>
              <w:left w:w="90" w:type="dxa"/>
              <w:right w:w="90" w:type="dxa"/>
            </w:tcMar>
          </w:tcPr>
          <w:p>
            <w:pPr>
              <w:keepNext w:val="0"/>
              <w:widowControl/>
              <w:spacing w:before="0" w:after="20" w:line="240" w:lineRule="auto"/>
            </w:pPr>
            <w:r>
              <w:rPr>
                <w:b w:val="0"/>
                <w:color w:val="000000"/>
                <w:sz w:val="18"/>
              </w:rPr>
              <w:t>Felipe Ospina</w:t>
            </w:r>
          </w:p>
        </w:tc>
        <w:tc>
          <w:tcPr>
            <w:tcW w:type="dxa" w:w="2135"/>
            <w:vAlign w:val="center"/>
            <w:tcMar>
              <w:top w:w="75" w:type="dxa"/>
              <w:bottom w:w="75" w:type="dxa"/>
              <w:left w:w="90" w:type="dxa"/>
              <w:right w:w="90" w:type="dxa"/>
            </w:tcMar>
          </w:tcPr>
          <w:p>
            <w:pPr>
              <w:keepNext w:val="0"/>
              <w:widowControl/>
              <w:spacing w:before="0" w:after="20" w:line="240" w:lineRule="auto"/>
            </w:pPr>
            <w:r>
              <w:rPr>
                <w:b w:val="0"/>
                <w:color w:val="000000"/>
                <w:sz w:val="18"/>
              </w:rPr>
              <w:t>CC-CP-10</w:t>
            </w:r>
          </w:p>
        </w:tc>
      </w:tr>
      <w:tr>
        <w:trPr>
          <w:cantSplit/>
        </w:trPr>
        <w:tc>
          <w:tcPr>
            <w:tcW w:type="dxa" w:w="2745"/>
            <w:vAlign w:val="center"/>
            <w:tcMar>
              <w:top w:w="75" w:type="dxa"/>
              <w:bottom w:w="75" w:type="dxa"/>
              <w:left w:w="90" w:type="dxa"/>
              <w:right w:w="90" w:type="dxa"/>
            </w:tcMar>
          </w:tcPr>
          <w:p>
            <w:pPr>
              <w:keepNext w:val="0"/>
              <w:widowControl/>
              <w:spacing w:before="0" w:after="20" w:line="240" w:lineRule="auto"/>
            </w:pPr>
            <w:r>
              <w:rPr>
                <w:b w:val="0"/>
                <w:color w:val="000000"/>
                <w:sz w:val="18"/>
              </w:rPr>
              <w:t>Inventarios</w:t>
            </w:r>
          </w:p>
        </w:tc>
        <w:tc>
          <w:tcPr>
            <w:tcW w:type="dxa" w:w="1220"/>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13</w:t>
            </w:r>
          </w:p>
        </w:tc>
        <w:tc>
          <w:tcPr>
            <w:tcW w:type="dxa" w:w="4067"/>
            <w:vAlign w:val="center"/>
            <w:tcMar>
              <w:top w:w="75" w:type="dxa"/>
              <w:bottom w:w="75" w:type="dxa"/>
              <w:left w:w="90" w:type="dxa"/>
              <w:right w:w="90" w:type="dxa"/>
            </w:tcMar>
          </w:tcPr>
          <w:p>
            <w:pPr>
              <w:keepNext w:val="0"/>
              <w:widowControl/>
              <w:spacing w:before="0" w:after="20" w:line="240" w:lineRule="auto"/>
            </w:pPr>
            <w:r>
              <w:rPr>
                <w:b w:val="0"/>
                <w:color w:val="000000"/>
                <w:sz w:val="18"/>
              </w:rPr>
              <w:t>Paola Cárdenas</w:t>
            </w:r>
          </w:p>
        </w:tc>
        <w:tc>
          <w:tcPr>
            <w:tcW w:type="dxa" w:w="2135"/>
            <w:vAlign w:val="center"/>
            <w:tcMar>
              <w:top w:w="75" w:type="dxa"/>
              <w:bottom w:w="75" w:type="dxa"/>
              <w:left w:w="90" w:type="dxa"/>
              <w:right w:w="90" w:type="dxa"/>
            </w:tcMar>
          </w:tcPr>
          <w:p>
            <w:pPr>
              <w:keepNext w:val="0"/>
              <w:widowControl/>
              <w:spacing w:before="0" w:after="20" w:line="240" w:lineRule="auto"/>
            </w:pPr>
            <w:r>
              <w:rPr>
                <w:b w:val="0"/>
                <w:color w:val="000000"/>
                <w:sz w:val="18"/>
              </w:rPr>
              <w:t>CC-CP-11</w:t>
            </w:r>
          </w:p>
        </w:tc>
      </w:tr>
      <w:tr>
        <w:trPr>
          <w:cantSplit/>
        </w:trPr>
        <w:tc>
          <w:tcPr>
            <w:tcW w:type="dxa" w:w="2745"/>
            <w:vAlign w:val="center"/>
            <w:tcMar>
              <w:top w:w="75" w:type="dxa"/>
              <w:bottom w:w="75" w:type="dxa"/>
              <w:left w:w="90" w:type="dxa"/>
              <w:right w:w="90" w:type="dxa"/>
            </w:tcMar>
          </w:tcPr>
          <w:p>
            <w:pPr>
              <w:keepNext w:val="0"/>
              <w:widowControl/>
              <w:spacing w:before="0" w:after="20" w:line="240" w:lineRule="auto"/>
            </w:pPr>
            <w:r>
              <w:rPr>
                <w:b w:val="0"/>
                <w:color w:val="000000"/>
                <w:sz w:val="18"/>
              </w:rPr>
              <w:t>Montaje</w:t>
            </w:r>
          </w:p>
        </w:tc>
        <w:tc>
          <w:tcPr>
            <w:tcW w:type="dxa" w:w="1220"/>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11</w:t>
            </w:r>
          </w:p>
        </w:tc>
        <w:tc>
          <w:tcPr>
            <w:tcW w:type="dxa" w:w="4067"/>
            <w:vAlign w:val="center"/>
            <w:tcMar>
              <w:top w:w="75" w:type="dxa"/>
              <w:bottom w:w="75" w:type="dxa"/>
              <w:left w:w="90" w:type="dxa"/>
              <w:right w:w="90" w:type="dxa"/>
            </w:tcMar>
          </w:tcPr>
          <w:p>
            <w:pPr>
              <w:keepNext w:val="0"/>
              <w:widowControl/>
              <w:spacing w:before="0" w:after="20" w:line="240" w:lineRule="auto"/>
            </w:pPr>
            <w:r>
              <w:rPr>
                <w:b w:val="0"/>
                <w:color w:val="000000"/>
                <w:sz w:val="18"/>
              </w:rPr>
              <w:t>Óscar Benítez</w:t>
            </w:r>
          </w:p>
        </w:tc>
        <w:tc>
          <w:tcPr>
            <w:tcW w:type="dxa" w:w="2135"/>
            <w:vAlign w:val="center"/>
            <w:tcMar>
              <w:top w:w="75" w:type="dxa"/>
              <w:bottom w:w="75" w:type="dxa"/>
              <w:left w:w="90" w:type="dxa"/>
              <w:right w:w="90" w:type="dxa"/>
            </w:tcMar>
          </w:tcPr>
          <w:p>
            <w:pPr>
              <w:keepNext w:val="0"/>
              <w:widowControl/>
              <w:spacing w:before="0" w:after="20" w:line="240" w:lineRule="auto"/>
            </w:pPr>
            <w:r>
              <w:rPr>
                <w:b w:val="0"/>
                <w:color w:val="000000"/>
                <w:sz w:val="18"/>
              </w:rPr>
              <w:t>CC-CP-12</w:t>
            </w:r>
          </w:p>
        </w:tc>
      </w:tr>
      <w:tr>
        <w:trPr>
          <w:cantSplit/>
        </w:trPr>
        <w:tc>
          <w:tcPr>
            <w:tcW w:type="dxa" w:w="2745"/>
            <w:vAlign w:val="center"/>
            <w:tcMar>
              <w:top w:w="75" w:type="dxa"/>
              <w:bottom w:w="75" w:type="dxa"/>
              <w:left w:w="90" w:type="dxa"/>
              <w:right w:w="90" w:type="dxa"/>
            </w:tcMar>
          </w:tcPr>
          <w:p>
            <w:pPr>
              <w:keepNext w:val="0"/>
              <w:widowControl/>
              <w:spacing w:before="0" w:after="20" w:line="240" w:lineRule="auto"/>
            </w:pPr>
            <w:r>
              <w:rPr>
                <w:b w:val="0"/>
                <w:color w:val="000000"/>
                <w:sz w:val="18"/>
              </w:rPr>
              <w:t>Servicio al cliente</w:t>
            </w:r>
          </w:p>
        </w:tc>
        <w:tc>
          <w:tcPr>
            <w:tcW w:type="dxa" w:w="1220"/>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10</w:t>
            </w:r>
          </w:p>
        </w:tc>
        <w:tc>
          <w:tcPr>
            <w:tcW w:type="dxa" w:w="4067"/>
            <w:vAlign w:val="center"/>
            <w:tcMar>
              <w:top w:w="75" w:type="dxa"/>
              <w:bottom w:w="75" w:type="dxa"/>
              <w:left w:w="90" w:type="dxa"/>
              <w:right w:w="90" w:type="dxa"/>
            </w:tcMar>
          </w:tcPr>
          <w:p>
            <w:pPr>
              <w:keepNext w:val="0"/>
              <w:widowControl/>
              <w:spacing w:before="0" w:after="20" w:line="240" w:lineRule="auto"/>
            </w:pPr>
            <w:r>
              <w:rPr>
                <w:b w:val="0"/>
                <w:color w:val="000000"/>
                <w:sz w:val="18"/>
              </w:rPr>
              <w:t>Mariana León</w:t>
            </w:r>
          </w:p>
        </w:tc>
        <w:tc>
          <w:tcPr>
            <w:tcW w:type="dxa" w:w="2135"/>
            <w:vAlign w:val="center"/>
            <w:tcMar>
              <w:top w:w="75" w:type="dxa"/>
              <w:bottom w:w="75" w:type="dxa"/>
              <w:left w:w="90" w:type="dxa"/>
              <w:right w:w="90" w:type="dxa"/>
            </w:tcMar>
          </w:tcPr>
          <w:p>
            <w:pPr>
              <w:keepNext w:val="0"/>
              <w:widowControl/>
              <w:spacing w:before="0" w:after="20" w:line="240" w:lineRule="auto"/>
            </w:pPr>
            <w:r>
              <w:rPr>
                <w:b w:val="0"/>
                <w:color w:val="000000"/>
                <w:sz w:val="18"/>
              </w:rPr>
              <w:t>CC-CP-13</w:t>
            </w:r>
          </w:p>
        </w:tc>
      </w:tr>
      <w:tr>
        <w:trPr>
          <w:cantSplit/>
        </w:trPr>
        <w:tc>
          <w:tcPr>
            <w:tcW w:type="dxa" w:w="2745"/>
            <w:vAlign w:val="center"/>
            <w:tcMar>
              <w:top w:w="75" w:type="dxa"/>
              <w:bottom w:w="75" w:type="dxa"/>
              <w:left w:w="90" w:type="dxa"/>
              <w:right w:w="90" w:type="dxa"/>
            </w:tcMar>
          </w:tcPr>
          <w:p>
            <w:pPr>
              <w:keepNext w:val="0"/>
              <w:widowControl/>
              <w:spacing w:before="0" w:after="20" w:line="240" w:lineRule="auto"/>
            </w:pPr>
            <w:r>
              <w:rPr>
                <w:b w:val="0"/>
                <w:color w:val="000000"/>
                <w:sz w:val="18"/>
              </w:rPr>
              <w:t>Tecnología</w:t>
            </w:r>
          </w:p>
        </w:tc>
        <w:tc>
          <w:tcPr>
            <w:tcW w:type="dxa" w:w="1220"/>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10</w:t>
            </w:r>
          </w:p>
        </w:tc>
        <w:tc>
          <w:tcPr>
            <w:tcW w:type="dxa" w:w="4067"/>
            <w:vAlign w:val="center"/>
            <w:tcMar>
              <w:top w:w="75" w:type="dxa"/>
              <w:bottom w:w="75" w:type="dxa"/>
              <w:left w:w="90" w:type="dxa"/>
              <w:right w:w="90" w:type="dxa"/>
            </w:tcMar>
          </w:tcPr>
          <w:p>
            <w:pPr>
              <w:keepNext w:val="0"/>
              <w:widowControl/>
              <w:spacing w:before="0" w:after="20" w:line="240" w:lineRule="auto"/>
            </w:pPr>
            <w:r>
              <w:rPr>
                <w:b w:val="0"/>
                <w:color w:val="000000"/>
                <w:sz w:val="18"/>
              </w:rPr>
              <w:t>Santiago Robledo</w:t>
            </w:r>
          </w:p>
        </w:tc>
        <w:tc>
          <w:tcPr>
            <w:tcW w:type="dxa" w:w="2135"/>
            <w:vAlign w:val="center"/>
            <w:tcMar>
              <w:top w:w="75" w:type="dxa"/>
              <w:bottom w:w="75" w:type="dxa"/>
              <w:left w:w="90" w:type="dxa"/>
              <w:right w:w="90" w:type="dxa"/>
            </w:tcMar>
          </w:tcPr>
          <w:p>
            <w:pPr>
              <w:keepNext w:val="0"/>
              <w:widowControl/>
              <w:spacing w:before="0" w:after="20" w:line="240" w:lineRule="auto"/>
            </w:pPr>
            <w:r>
              <w:rPr>
                <w:b w:val="0"/>
                <w:color w:val="000000"/>
                <w:sz w:val="18"/>
              </w:rPr>
              <w:t>CC-CP-14</w:t>
            </w:r>
          </w:p>
        </w:tc>
      </w:tr>
      <w:tr>
        <w:trPr>
          <w:cantSplit/>
        </w:trPr>
        <w:tc>
          <w:tcPr>
            <w:tcW w:type="dxa" w:w="2745"/>
            <w:vAlign w:val="center"/>
            <w:tcMar>
              <w:top w:w="75" w:type="dxa"/>
              <w:bottom w:w="75" w:type="dxa"/>
              <w:left w:w="90" w:type="dxa"/>
              <w:right w:w="90" w:type="dxa"/>
            </w:tcMar>
          </w:tcPr>
          <w:p>
            <w:pPr>
              <w:keepNext w:val="0"/>
              <w:widowControl/>
              <w:spacing w:before="0" w:after="20" w:line="240" w:lineRule="auto"/>
            </w:pPr>
            <w:r>
              <w:rPr>
                <w:b w:val="0"/>
                <w:color w:val="000000"/>
                <w:sz w:val="18"/>
              </w:rPr>
              <w:t>Diseño de espacios</w:t>
            </w:r>
          </w:p>
        </w:tc>
        <w:tc>
          <w:tcPr>
            <w:tcW w:type="dxa" w:w="1220"/>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12</w:t>
            </w:r>
          </w:p>
        </w:tc>
        <w:tc>
          <w:tcPr>
            <w:tcW w:type="dxa" w:w="4067"/>
            <w:vAlign w:val="center"/>
            <w:tcMar>
              <w:top w:w="75" w:type="dxa"/>
              <w:bottom w:w="75" w:type="dxa"/>
              <w:left w:w="90" w:type="dxa"/>
              <w:right w:w="90" w:type="dxa"/>
            </w:tcMar>
          </w:tcPr>
          <w:p>
            <w:pPr>
              <w:keepNext w:val="0"/>
              <w:widowControl/>
              <w:spacing w:before="0" w:after="20" w:line="240" w:lineRule="auto"/>
            </w:pPr>
            <w:r>
              <w:rPr>
                <w:b w:val="0"/>
                <w:color w:val="000000"/>
                <w:sz w:val="18"/>
              </w:rPr>
              <w:t>Isabel Restrepo</w:t>
            </w:r>
          </w:p>
        </w:tc>
        <w:tc>
          <w:tcPr>
            <w:tcW w:type="dxa" w:w="2135"/>
            <w:vAlign w:val="center"/>
            <w:tcMar>
              <w:top w:w="75" w:type="dxa"/>
              <w:bottom w:w="75" w:type="dxa"/>
              <w:left w:w="90" w:type="dxa"/>
              <w:right w:w="90" w:type="dxa"/>
            </w:tcMar>
          </w:tcPr>
          <w:p>
            <w:pPr>
              <w:keepNext w:val="0"/>
              <w:widowControl/>
              <w:spacing w:before="0" w:after="20" w:line="240" w:lineRule="auto"/>
            </w:pPr>
            <w:r>
              <w:rPr>
                <w:b w:val="0"/>
                <w:color w:val="000000"/>
                <w:sz w:val="18"/>
              </w:rPr>
              <w:t>CC-CP-15</w:t>
            </w:r>
          </w:p>
        </w:tc>
      </w:tr>
      <w:tr>
        <w:trPr>
          <w:cantSplit/>
        </w:trPr>
        <w:tc>
          <w:tcPr>
            <w:tcW w:type="dxa" w:w="2745"/>
            <w:vAlign w:val="center"/>
            <w:tcMar>
              <w:top w:w="75" w:type="dxa"/>
              <w:bottom w:w="75" w:type="dxa"/>
              <w:left w:w="90" w:type="dxa"/>
              <w:right w:w="90" w:type="dxa"/>
            </w:tcMar>
          </w:tcPr>
          <w:p>
            <w:pPr>
              <w:keepNext w:val="0"/>
              <w:widowControl/>
              <w:spacing w:before="0" w:after="20" w:line="240" w:lineRule="auto"/>
            </w:pPr>
            <w:r>
              <w:rPr>
                <w:b w:val="0"/>
                <w:color w:val="000000"/>
                <w:sz w:val="18"/>
              </w:rPr>
              <w:t>Calidad y posventa</w:t>
            </w:r>
          </w:p>
        </w:tc>
        <w:tc>
          <w:tcPr>
            <w:tcW w:type="dxa" w:w="1220"/>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10</w:t>
            </w:r>
          </w:p>
        </w:tc>
        <w:tc>
          <w:tcPr>
            <w:tcW w:type="dxa" w:w="4067"/>
            <w:vAlign w:val="center"/>
            <w:tcMar>
              <w:top w:w="75" w:type="dxa"/>
              <w:bottom w:w="75" w:type="dxa"/>
              <w:left w:w="90" w:type="dxa"/>
              <w:right w:w="90" w:type="dxa"/>
            </w:tcMar>
          </w:tcPr>
          <w:p>
            <w:pPr>
              <w:keepNext w:val="0"/>
              <w:widowControl/>
              <w:spacing w:before="0" w:after="20" w:line="240" w:lineRule="auto"/>
            </w:pPr>
            <w:r>
              <w:rPr>
                <w:b w:val="0"/>
                <w:color w:val="000000"/>
                <w:sz w:val="18"/>
              </w:rPr>
              <w:t>Ricardo Muñoz</w:t>
            </w:r>
          </w:p>
        </w:tc>
        <w:tc>
          <w:tcPr>
            <w:tcW w:type="dxa" w:w="2135"/>
            <w:vAlign w:val="center"/>
            <w:tcMar>
              <w:top w:w="75" w:type="dxa"/>
              <w:bottom w:w="75" w:type="dxa"/>
              <w:left w:w="90" w:type="dxa"/>
              <w:right w:w="90" w:type="dxa"/>
            </w:tcMar>
          </w:tcPr>
          <w:p>
            <w:pPr>
              <w:keepNext w:val="0"/>
              <w:widowControl/>
              <w:spacing w:before="0" w:after="20" w:line="240" w:lineRule="auto"/>
            </w:pPr>
            <w:r>
              <w:rPr>
                <w:b w:val="0"/>
                <w:color w:val="000000"/>
                <w:sz w:val="18"/>
              </w:rPr>
              <w:t>CC-CP-16</w:t>
            </w:r>
          </w:p>
        </w:tc>
      </w:tr>
      <w:tr>
        <w:trPr>
          <w:cantSplit/>
        </w:trPr>
        <w:tc>
          <w:tcPr>
            <w:tcW w:type="dxa" w:w="2745"/>
            <w:vAlign w:val="center"/>
            <w:tcMar>
              <w:top w:w="75" w:type="dxa"/>
              <w:bottom w:w="75" w:type="dxa"/>
              <w:left w:w="90" w:type="dxa"/>
              <w:right w:w="90" w:type="dxa"/>
            </w:tcMar>
          </w:tcPr>
          <w:p>
            <w:pPr>
              <w:keepNext w:val="0"/>
              <w:widowControl/>
              <w:spacing w:before="0" w:after="20" w:line="240" w:lineRule="auto"/>
            </w:pPr>
            <w:r>
              <w:rPr>
                <w:b w:val="0"/>
                <w:color w:val="000000"/>
                <w:sz w:val="18"/>
              </w:rPr>
              <w:t>Legal y cumplimiento</w:t>
            </w:r>
          </w:p>
        </w:tc>
        <w:tc>
          <w:tcPr>
            <w:tcW w:type="dxa" w:w="1220"/>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16</w:t>
            </w:r>
          </w:p>
        </w:tc>
        <w:tc>
          <w:tcPr>
            <w:tcW w:type="dxa" w:w="4067"/>
            <w:vAlign w:val="center"/>
            <w:tcMar>
              <w:top w:w="75" w:type="dxa"/>
              <w:bottom w:w="75" w:type="dxa"/>
              <w:left w:w="90" w:type="dxa"/>
              <w:right w:w="90" w:type="dxa"/>
            </w:tcMar>
          </w:tcPr>
          <w:p>
            <w:pPr>
              <w:keepNext w:val="0"/>
              <w:widowControl/>
              <w:spacing w:before="0" w:after="20" w:line="240" w:lineRule="auto"/>
            </w:pPr>
            <w:r>
              <w:rPr>
                <w:b w:val="0"/>
                <w:color w:val="000000"/>
                <w:sz w:val="18"/>
              </w:rPr>
              <w:t>Natalia Escobar</w:t>
            </w:r>
          </w:p>
        </w:tc>
        <w:tc>
          <w:tcPr>
            <w:tcW w:type="dxa" w:w="2135"/>
            <w:vAlign w:val="center"/>
            <w:tcMar>
              <w:top w:w="75" w:type="dxa"/>
              <w:bottom w:w="75" w:type="dxa"/>
              <w:left w:w="90" w:type="dxa"/>
              <w:right w:w="90" w:type="dxa"/>
            </w:tcMar>
          </w:tcPr>
          <w:p>
            <w:pPr>
              <w:keepNext w:val="0"/>
              <w:widowControl/>
              <w:spacing w:before="0" w:after="20" w:line="240" w:lineRule="auto"/>
            </w:pPr>
            <w:r>
              <w:rPr>
                <w:b w:val="0"/>
                <w:color w:val="000000"/>
                <w:sz w:val="18"/>
              </w:rPr>
              <w:t>CC-CP-17</w:t>
            </w:r>
          </w:p>
        </w:tc>
      </w:tr>
    </w:tbl>
    <w:p>
      <w:pPr>
        <w:spacing w:after="20" w:before="0" w:line="240" w:lineRule="auto"/>
      </w:pPr>
      <w:r>
        <w:rPr>
          <w:sz w:val="4"/>
        </w:rPr>
      </w:r>
    </w:p>
    <w:p>
      <w:pPr>
        <w:pStyle w:val="Heading1"/>
      </w:pPr>
      <w:r>
        <w:t>Delegación en Talento humano</w:t>
      </w:r>
    </w:p>
    <w:p>
      <w:r>
        <w:t>Camila Duarte EMP-019 se conserva como líder titular del departamento y figura Inactivo en el registro. La delegación interna DG-2025-017, aprobada por Valentina Ríos el 2025-07-01, asigna a Clara Ramírez EMP-020 la coordinación operativa y el seguimiento de formación. Clara no sustituye la aprobación de Dirección para vinculaciones, presupuesto o cambios de estructura. El registro de personal no se modifica para ocultar esta condición.</w:t>
      </w:r>
    </w:p>
    <w:p>
      <w:pPr>
        <w:pStyle w:val="Heading1"/>
      </w:pPr>
      <w:r>
        <w:t>Sedes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43"/>
        <w:gridCol w:w="4270"/>
        <w:gridCol w:w="3253"/>
      </w:tblGrid>
      <w:tr>
        <w:trPr>
          <w:tblHeader w:val="true"/>
          <w:cantSplit/>
        </w:trPr>
        <w:tc>
          <w:tcPr>
            <w:tcW w:type="dxa" w:w="264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Sede</w:t>
            </w:r>
          </w:p>
        </w:tc>
        <w:tc>
          <w:tcPr>
            <w:tcW w:type="dxa" w:w="427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Área</w:t>
            </w:r>
          </w:p>
        </w:tc>
        <w:tc>
          <w:tcPr>
            <w:tcW w:type="dxa" w:w="325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Uso</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Bogotá sede administrativa</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1.100 m²</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Dirección y coordinación</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Bogotá showroom</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650 m²</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Venta y demostración</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Bogotá bodega</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2.400 m²</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Recepción y conservación</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Medellín showroom</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350 m²</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Venta y demostración</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Cali showroom</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300 m²</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Venta y coordinación regional</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Total</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4.800 m²</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Cinco instalaciones</w:t>
            </w:r>
          </w:p>
        </w:tc>
      </w:tr>
    </w:tbl>
    <w:p>
      <w:pPr>
        <w:spacing w:after="20" w:before="0" w:line="240" w:lineRule="auto"/>
      </w:pPr>
      <w:r>
        <w:rPr>
          <w:sz w:val="4"/>
        </w:rPr>
      </w:r>
    </w:p>
    <w:p>
      <w:pPr>
        <w:pStyle w:val="Heading1"/>
      </w:pPr>
      <w:r>
        <w:t>Muestra de personas para trazabilidad</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322"/>
        <w:gridCol w:w="2847"/>
        <w:gridCol w:w="3660"/>
        <w:gridCol w:w="2338"/>
      </w:tblGrid>
      <w:tr>
        <w:trPr>
          <w:tblHeader w:val="true"/>
          <w:cantSplit/>
        </w:trPr>
        <w:tc>
          <w:tcPr>
            <w:tcW w:type="dxa" w:w="1322"/>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ID</w:t>
            </w:r>
          </w:p>
        </w:tc>
        <w:tc>
          <w:tcPr>
            <w:tcW w:type="dxa" w:w="2847"/>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Nombre</w:t>
            </w:r>
          </w:p>
        </w:tc>
        <w:tc>
          <w:tcPr>
            <w:tcW w:type="dxa" w:w="366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Departamento</w:t>
            </w:r>
          </w:p>
        </w:tc>
        <w:tc>
          <w:tcPr>
            <w:tcW w:type="dxa" w:w="2338"/>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Estado</w:t>
            </w:r>
          </w:p>
        </w:tc>
      </w:tr>
      <w:tr>
        <w:trPr>
          <w:cantSplit/>
        </w:trPr>
        <w:tc>
          <w:tcPr>
            <w:tcW w:type="dxa" w:w="1322"/>
            <w:vAlign w:val="center"/>
            <w:tcMar>
              <w:top w:w="75" w:type="dxa"/>
              <w:bottom w:w="75" w:type="dxa"/>
              <w:left w:w="90" w:type="dxa"/>
              <w:right w:w="90" w:type="dxa"/>
            </w:tcMar>
          </w:tcPr>
          <w:p>
            <w:pPr>
              <w:keepNext w:val="0"/>
              <w:widowControl/>
              <w:spacing w:before="0" w:after="20" w:line="240" w:lineRule="auto"/>
            </w:pPr>
            <w:r>
              <w:rPr>
                <w:b w:val="0"/>
                <w:color w:val="000000"/>
                <w:sz w:val="18"/>
              </w:rPr>
              <w:t>EMP-001</w:t>
            </w:r>
          </w:p>
        </w:tc>
        <w:tc>
          <w:tcPr>
            <w:tcW w:type="dxa" w:w="2847"/>
            <w:vAlign w:val="center"/>
            <w:tcMar>
              <w:top w:w="75" w:type="dxa"/>
              <w:bottom w:w="75" w:type="dxa"/>
              <w:left w:w="90" w:type="dxa"/>
              <w:right w:w="90" w:type="dxa"/>
            </w:tcMar>
          </w:tcPr>
          <w:p>
            <w:pPr>
              <w:keepNext w:val="0"/>
              <w:widowControl/>
              <w:spacing w:before="0" w:after="20" w:line="240" w:lineRule="auto"/>
            </w:pPr>
            <w:r>
              <w:rPr>
                <w:b w:val="0"/>
                <w:color w:val="000000"/>
                <w:sz w:val="18"/>
              </w:rPr>
              <w:t>Valentina Ríos</w:t>
            </w:r>
          </w:p>
        </w:tc>
        <w:tc>
          <w:tcPr>
            <w:tcW w:type="dxa" w:w="3660"/>
            <w:vAlign w:val="center"/>
            <w:tcMar>
              <w:top w:w="75" w:type="dxa"/>
              <w:bottom w:w="75" w:type="dxa"/>
              <w:left w:w="90" w:type="dxa"/>
              <w:right w:w="90" w:type="dxa"/>
            </w:tcMar>
          </w:tcPr>
          <w:p>
            <w:pPr>
              <w:keepNext w:val="0"/>
              <w:widowControl/>
              <w:spacing w:before="0" w:after="20" w:line="240" w:lineRule="auto"/>
            </w:pPr>
            <w:r>
              <w:rPr>
                <w:b w:val="0"/>
                <w:color w:val="000000"/>
                <w:sz w:val="18"/>
              </w:rPr>
              <w:t>Dirección general</w:t>
            </w:r>
          </w:p>
        </w:tc>
        <w:tc>
          <w:tcPr>
            <w:tcW w:type="dxa" w:w="2338"/>
            <w:vAlign w:val="center"/>
            <w:tcMar>
              <w:top w:w="75" w:type="dxa"/>
              <w:bottom w:w="75" w:type="dxa"/>
              <w:left w:w="90" w:type="dxa"/>
              <w:right w:w="90" w:type="dxa"/>
            </w:tcMar>
          </w:tcPr>
          <w:p>
            <w:pPr>
              <w:keepNext w:val="0"/>
              <w:widowControl/>
              <w:spacing w:before="0" w:after="20" w:line="240" w:lineRule="auto"/>
            </w:pPr>
            <w:r>
              <w:rPr>
                <w:b w:val="0"/>
                <w:color w:val="000000"/>
                <w:sz w:val="18"/>
              </w:rPr>
              <w:t>Activo</w:t>
            </w:r>
          </w:p>
        </w:tc>
      </w:tr>
      <w:tr>
        <w:trPr>
          <w:cantSplit/>
        </w:trPr>
        <w:tc>
          <w:tcPr>
            <w:tcW w:type="dxa" w:w="1322"/>
            <w:vAlign w:val="center"/>
            <w:tcMar>
              <w:top w:w="75" w:type="dxa"/>
              <w:bottom w:w="75" w:type="dxa"/>
              <w:left w:w="90" w:type="dxa"/>
              <w:right w:w="90" w:type="dxa"/>
            </w:tcMar>
          </w:tcPr>
          <w:p>
            <w:pPr>
              <w:keepNext w:val="0"/>
              <w:widowControl/>
              <w:spacing w:before="0" w:after="20" w:line="240" w:lineRule="auto"/>
            </w:pPr>
            <w:r>
              <w:rPr>
                <w:b w:val="0"/>
                <w:color w:val="000000"/>
                <w:sz w:val="18"/>
              </w:rPr>
              <w:t>EMP-009</w:t>
            </w:r>
          </w:p>
        </w:tc>
        <w:tc>
          <w:tcPr>
            <w:tcW w:type="dxa" w:w="2847"/>
            <w:vAlign w:val="center"/>
            <w:tcMar>
              <w:top w:w="75" w:type="dxa"/>
              <w:bottom w:w="75" w:type="dxa"/>
              <w:left w:w="90" w:type="dxa"/>
              <w:right w:w="90" w:type="dxa"/>
            </w:tcMar>
          </w:tcPr>
          <w:p>
            <w:pPr>
              <w:keepNext w:val="0"/>
              <w:widowControl/>
              <w:spacing w:before="0" w:after="20" w:line="240" w:lineRule="auto"/>
            </w:pPr>
            <w:r>
              <w:rPr>
                <w:b w:val="0"/>
                <w:color w:val="000000"/>
                <w:sz w:val="18"/>
              </w:rPr>
              <w:t>Mateo Salcedo</w:t>
            </w:r>
          </w:p>
        </w:tc>
        <w:tc>
          <w:tcPr>
            <w:tcW w:type="dxa" w:w="3660"/>
            <w:vAlign w:val="center"/>
            <w:tcMar>
              <w:top w:w="75" w:type="dxa"/>
              <w:bottom w:w="75" w:type="dxa"/>
              <w:left w:w="90" w:type="dxa"/>
              <w:right w:w="90" w:type="dxa"/>
            </w:tcMar>
          </w:tcPr>
          <w:p>
            <w:pPr>
              <w:keepNext w:val="0"/>
              <w:widowControl/>
              <w:spacing w:before="0" w:after="20" w:line="240" w:lineRule="auto"/>
            </w:pPr>
            <w:r>
              <w:rPr>
                <w:b w:val="0"/>
                <w:color w:val="000000"/>
                <w:sz w:val="18"/>
              </w:rPr>
              <w:t>Finanzas</w:t>
            </w:r>
          </w:p>
        </w:tc>
        <w:tc>
          <w:tcPr>
            <w:tcW w:type="dxa" w:w="2338"/>
            <w:vAlign w:val="center"/>
            <w:tcMar>
              <w:top w:w="75" w:type="dxa"/>
              <w:bottom w:w="75" w:type="dxa"/>
              <w:left w:w="90" w:type="dxa"/>
              <w:right w:w="90" w:type="dxa"/>
            </w:tcMar>
          </w:tcPr>
          <w:p>
            <w:pPr>
              <w:keepNext w:val="0"/>
              <w:widowControl/>
              <w:spacing w:before="0" w:after="20" w:line="240" w:lineRule="auto"/>
            </w:pPr>
            <w:r>
              <w:rPr>
                <w:b w:val="0"/>
                <w:color w:val="000000"/>
                <w:sz w:val="18"/>
              </w:rPr>
              <w:t>Activo</w:t>
            </w:r>
          </w:p>
        </w:tc>
      </w:tr>
      <w:tr>
        <w:trPr>
          <w:cantSplit/>
        </w:trPr>
        <w:tc>
          <w:tcPr>
            <w:tcW w:type="dxa" w:w="1322"/>
            <w:vAlign w:val="center"/>
            <w:tcMar>
              <w:top w:w="75" w:type="dxa"/>
              <w:bottom w:w="75" w:type="dxa"/>
              <w:left w:w="90" w:type="dxa"/>
              <w:right w:w="90" w:type="dxa"/>
            </w:tcMar>
          </w:tcPr>
          <w:p>
            <w:pPr>
              <w:keepNext w:val="0"/>
              <w:widowControl/>
              <w:spacing w:before="0" w:after="20" w:line="240" w:lineRule="auto"/>
            </w:pPr>
            <w:r>
              <w:rPr>
                <w:b w:val="0"/>
                <w:color w:val="000000"/>
                <w:sz w:val="18"/>
              </w:rPr>
              <w:t>EMP-019</w:t>
            </w:r>
          </w:p>
        </w:tc>
        <w:tc>
          <w:tcPr>
            <w:tcW w:type="dxa" w:w="2847"/>
            <w:vAlign w:val="center"/>
            <w:tcMar>
              <w:top w:w="75" w:type="dxa"/>
              <w:bottom w:w="75" w:type="dxa"/>
              <w:left w:w="90" w:type="dxa"/>
              <w:right w:w="90" w:type="dxa"/>
            </w:tcMar>
          </w:tcPr>
          <w:p>
            <w:pPr>
              <w:keepNext w:val="0"/>
              <w:widowControl/>
              <w:spacing w:before="0" w:after="20" w:line="240" w:lineRule="auto"/>
            </w:pPr>
            <w:r>
              <w:rPr>
                <w:b w:val="0"/>
                <w:color w:val="000000"/>
                <w:sz w:val="18"/>
              </w:rPr>
              <w:t>Camila Duarte</w:t>
            </w:r>
          </w:p>
        </w:tc>
        <w:tc>
          <w:tcPr>
            <w:tcW w:type="dxa" w:w="3660"/>
            <w:vAlign w:val="center"/>
            <w:tcMar>
              <w:top w:w="75" w:type="dxa"/>
              <w:bottom w:w="75" w:type="dxa"/>
              <w:left w:w="90" w:type="dxa"/>
              <w:right w:w="90" w:type="dxa"/>
            </w:tcMar>
          </w:tcPr>
          <w:p>
            <w:pPr>
              <w:keepNext w:val="0"/>
              <w:widowControl/>
              <w:spacing w:before="0" w:after="20" w:line="240" w:lineRule="auto"/>
            </w:pPr>
            <w:r>
              <w:rPr>
                <w:b w:val="0"/>
                <w:color w:val="000000"/>
                <w:sz w:val="18"/>
              </w:rPr>
              <w:t>Talento humano</w:t>
            </w:r>
          </w:p>
        </w:tc>
        <w:tc>
          <w:tcPr>
            <w:tcW w:type="dxa" w:w="2338"/>
            <w:vAlign w:val="center"/>
            <w:tcMar>
              <w:top w:w="75" w:type="dxa"/>
              <w:bottom w:w="75" w:type="dxa"/>
              <w:left w:w="90" w:type="dxa"/>
              <w:right w:w="90" w:type="dxa"/>
            </w:tcMar>
          </w:tcPr>
          <w:p>
            <w:pPr>
              <w:keepNext w:val="0"/>
              <w:widowControl/>
              <w:spacing w:before="0" w:after="20" w:line="240" w:lineRule="auto"/>
            </w:pPr>
            <w:r>
              <w:rPr>
                <w:b w:val="0"/>
                <w:color w:val="000000"/>
                <w:sz w:val="18"/>
              </w:rPr>
              <w:t>Inactivo</w:t>
            </w:r>
          </w:p>
        </w:tc>
      </w:tr>
      <w:tr>
        <w:trPr>
          <w:cantSplit/>
        </w:trPr>
        <w:tc>
          <w:tcPr>
            <w:tcW w:type="dxa" w:w="1322"/>
            <w:vAlign w:val="center"/>
            <w:tcMar>
              <w:top w:w="75" w:type="dxa"/>
              <w:bottom w:w="75" w:type="dxa"/>
              <w:left w:w="90" w:type="dxa"/>
              <w:right w:w="90" w:type="dxa"/>
            </w:tcMar>
          </w:tcPr>
          <w:p>
            <w:pPr>
              <w:keepNext w:val="0"/>
              <w:widowControl/>
              <w:spacing w:before="0" w:after="20" w:line="240" w:lineRule="auto"/>
            </w:pPr>
            <w:r>
              <w:rPr>
                <w:b w:val="0"/>
                <w:color w:val="000000"/>
                <w:sz w:val="18"/>
              </w:rPr>
              <w:t>EMP-020</w:t>
            </w:r>
          </w:p>
        </w:tc>
        <w:tc>
          <w:tcPr>
            <w:tcW w:type="dxa" w:w="2847"/>
            <w:vAlign w:val="center"/>
            <w:tcMar>
              <w:top w:w="75" w:type="dxa"/>
              <w:bottom w:w="75" w:type="dxa"/>
              <w:left w:w="90" w:type="dxa"/>
              <w:right w:w="90" w:type="dxa"/>
            </w:tcMar>
          </w:tcPr>
          <w:p>
            <w:pPr>
              <w:keepNext w:val="0"/>
              <w:widowControl/>
              <w:spacing w:before="0" w:after="20" w:line="240" w:lineRule="auto"/>
            </w:pPr>
            <w:r>
              <w:rPr>
                <w:b w:val="0"/>
                <w:color w:val="000000"/>
                <w:sz w:val="18"/>
              </w:rPr>
              <w:t>Clara Ramírez</w:t>
            </w:r>
          </w:p>
        </w:tc>
        <w:tc>
          <w:tcPr>
            <w:tcW w:type="dxa" w:w="3660"/>
            <w:vAlign w:val="center"/>
            <w:tcMar>
              <w:top w:w="75" w:type="dxa"/>
              <w:bottom w:w="75" w:type="dxa"/>
              <w:left w:w="90" w:type="dxa"/>
              <w:right w:w="90" w:type="dxa"/>
            </w:tcMar>
          </w:tcPr>
          <w:p>
            <w:pPr>
              <w:keepNext w:val="0"/>
              <w:widowControl/>
              <w:spacing w:before="0" w:after="20" w:line="240" w:lineRule="auto"/>
            </w:pPr>
            <w:r>
              <w:rPr>
                <w:b w:val="0"/>
                <w:color w:val="000000"/>
                <w:sz w:val="18"/>
              </w:rPr>
              <w:t>Talento humano</w:t>
            </w:r>
          </w:p>
        </w:tc>
        <w:tc>
          <w:tcPr>
            <w:tcW w:type="dxa" w:w="2338"/>
            <w:vAlign w:val="center"/>
            <w:tcMar>
              <w:top w:w="75" w:type="dxa"/>
              <w:bottom w:w="75" w:type="dxa"/>
              <w:left w:w="90" w:type="dxa"/>
              <w:right w:w="90" w:type="dxa"/>
            </w:tcMar>
          </w:tcPr>
          <w:p>
            <w:pPr>
              <w:keepNext w:val="0"/>
              <w:widowControl/>
              <w:spacing w:before="0" w:after="20" w:line="240" w:lineRule="auto"/>
            </w:pPr>
            <w:r>
              <w:rPr>
                <w:b w:val="0"/>
                <w:color w:val="000000"/>
                <w:sz w:val="18"/>
              </w:rPr>
              <w:t>Activo</w:t>
            </w:r>
          </w:p>
        </w:tc>
      </w:tr>
      <w:tr>
        <w:trPr>
          <w:cantSplit/>
        </w:trPr>
        <w:tc>
          <w:tcPr>
            <w:tcW w:type="dxa" w:w="1322"/>
            <w:vAlign w:val="center"/>
            <w:tcMar>
              <w:top w:w="75" w:type="dxa"/>
              <w:bottom w:w="75" w:type="dxa"/>
              <w:left w:w="90" w:type="dxa"/>
              <w:right w:w="90" w:type="dxa"/>
            </w:tcMar>
          </w:tcPr>
          <w:p>
            <w:pPr>
              <w:keepNext w:val="0"/>
              <w:widowControl/>
              <w:spacing w:before="0" w:after="20" w:line="240" w:lineRule="auto"/>
            </w:pPr>
            <w:r>
              <w:rPr>
                <w:b w:val="0"/>
                <w:color w:val="000000"/>
                <w:sz w:val="18"/>
              </w:rPr>
              <w:t>EMP-023</w:t>
            </w:r>
          </w:p>
        </w:tc>
        <w:tc>
          <w:tcPr>
            <w:tcW w:type="dxa" w:w="2847"/>
            <w:vAlign w:val="center"/>
            <w:tcMar>
              <w:top w:w="75" w:type="dxa"/>
              <w:bottom w:w="75" w:type="dxa"/>
              <w:left w:w="90" w:type="dxa"/>
              <w:right w:w="90" w:type="dxa"/>
            </w:tcMar>
          </w:tcPr>
          <w:p>
            <w:pPr>
              <w:keepNext w:val="0"/>
              <w:widowControl/>
              <w:spacing w:before="0" w:after="20" w:line="240" w:lineRule="auto"/>
            </w:pPr>
            <w:r>
              <w:rPr>
                <w:b w:val="0"/>
                <w:color w:val="000000"/>
                <w:sz w:val="18"/>
              </w:rPr>
              <w:t>Tomás Peña</w:t>
            </w:r>
          </w:p>
        </w:tc>
        <w:tc>
          <w:tcPr>
            <w:tcW w:type="dxa" w:w="3660"/>
            <w:vAlign w:val="center"/>
            <w:tcMar>
              <w:top w:w="75" w:type="dxa"/>
              <w:bottom w:w="75" w:type="dxa"/>
              <w:left w:w="90" w:type="dxa"/>
              <w:right w:w="90" w:type="dxa"/>
            </w:tcMar>
          </w:tcPr>
          <w:p>
            <w:pPr>
              <w:keepNext w:val="0"/>
              <w:widowControl/>
              <w:spacing w:before="0" w:after="20" w:line="240" w:lineRule="auto"/>
            </w:pPr>
            <w:r>
              <w:rPr>
                <w:b w:val="0"/>
                <w:color w:val="000000"/>
                <w:sz w:val="18"/>
              </w:rPr>
              <w:t>Talento humano</w:t>
            </w:r>
          </w:p>
        </w:tc>
        <w:tc>
          <w:tcPr>
            <w:tcW w:type="dxa" w:w="2338"/>
            <w:vAlign w:val="center"/>
            <w:tcMar>
              <w:top w:w="75" w:type="dxa"/>
              <w:bottom w:w="75" w:type="dxa"/>
              <w:left w:w="90" w:type="dxa"/>
              <w:right w:w="90" w:type="dxa"/>
            </w:tcMar>
          </w:tcPr>
          <w:p>
            <w:pPr>
              <w:keepNext w:val="0"/>
              <w:widowControl/>
              <w:spacing w:before="0" w:after="20" w:line="240" w:lineRule="auto"/>
            </w:pPr>
            <w:r>
              <w:rPr>
                <w:b w:val="0"/>
                <w:color w:val="000000"/>
                <w:sz w:val="18"/>
              </w:rPr>
              <w:t>Vacaciones</w:t>
            </w:r>
          </w:p>
        </w:tc>
      </w:tr>
      <w:tr>
        <w:trPr>
          <w:cantSplit/>
        </w:trPr>
        <w:tc>
          <w:tcPr>
            <w:tcW w:type="dxa" w:w="1322"/>
            <w:vAlign w:val="center"/>
            <w:tcMar>
              <w:top w:w="75" w:type="dxa"/>
              <w:bottom w:w="75" w:type="dxa"/>
              <w:left w:w="90" w:type="dxa"/>
              <w:right w:w="90" w:type="dxa"/>
            </w:tcMar>
          </w:tcPr>
          <w:p>
            <w:pPr>
              <w:keepNext w:val="0"/>
              <w:widowControl/>
              <w:spacing w:before="0" w:after="20" w:line="240" w:lineRule="auto"/>
            </w:pPr>
            <w:r>
              <w:rPr>
                <w:b w:val="0"/>
                <w:color w:val="000000"/>
                <w:sz w:val="18"/>
              </w:rPr>
              <w:t>EMP-033</w:t>
            </w:r>
          </w:p>
        </w:tc>
        <w:tc>
          <w:tcPr>
            <w:tcW w:type="dxa" w:w="2847"/>
            <w:vAlign w:val="center"/>
            <w:tcMar>
              <w:top w:w="75" w:type="dxa"/>
              <w:bottom w:w="75" w:type="dxa"/>
              <w:left w:w="90" w:type="dxa"/>
              <w:right w:w="90" w:type="dxa"/>
            </w:tcMar>
          </w:tcPr>
          <w:p>
            <w:pPr>
              <w:keepNext w:val="0"/>
              <w:widowControl/>
              <w:spacing w:before="0" w:after="20" w:line="240" w:lineRule="auto"/>
            </w:pPr>
            <w:r>
              <w:rPr>
                <w:b w:val="0"/>
                <w:color w:val="000000"/>
                <w:sz w:val="18"/>
              </w:rPr>
              <w:t>Andrés Molina</w:t>
            </w:r>
          </w:p>
        </w:tc>
        <w:tc>
          <w:tcPr>
            <w:tcW w:type="dxa" w:w="3660"/>
            <w:vAlign w:val="center"/>
            <w:tcMar>
              <w:top w:w="75" w:type="dxa"/>
              <w:bottom w:w="75" w:type="dxa"/>
              <w:left w:w="90" w:type="dxa"/>
              <w:right w:w="90" w:type="dxa"/>
            </w:tcMar>
          </w:tcPr>
          <w:p>
            <w:pPr>
              <w:keepNext w:val="0"/>
              <w:widowControl/>
              <w:spacing w:before="0" w:after="20" w:line="240" w:lineRule="auto"/>
            </w:pPr>
            <w:r>
              <w:rPr>
                <w:b w:val="0"/>
                <w:color w:val="000000"/>
                <w:sz w:val="18"/>
              </w:rPr>
              <w:t>Consultoría B2B</w:t>
            </w:r>
          </w:p>
        </w:tc>
        <w:tc>
          <w:tcPr>
            <w:tcW w:type="dxa" w:w="2338"/>
            <w:vAlign w:val="center"/>
            <w:tcMar>
              <w:top w:w="75" w:type="dxa"/>
              <w:bottom w:w="75" w:type="dxa"/>
              <w:left w:w="90" w:type="dxa"/>
              <w:right w:w="90" w:type="dxa"/>
            </w:tcMar>
          </w:tcPr>
          <w:p>
            <w:pPr>
              <w:keepNext w:val="0"/>
              <w:widowControl/>
              <w:spacing w:before="0" w:after="20" w:line="240" w:lineRule="auto"/>
            </w:pPr>
            <w:r>
              <w:rPr>
                <w:b w:val="0"/>
                <w:color w:val="000000"/>
                <w:sz w:val="18"/>
              </w:rPr>
              <w:t>Activo</w:t>
            </w:r>
          </w:p>
        </w:tc>
      </w:tr>
      <w:tr>
        <w:trPr>
          <w:cantSplit/>
        </w:trPr>
        <w:tc>
          <w:tcPr>
            <w:tcW w:type="dxa" w:w="1322"/>
            <w:vAlign w:val="center"/>
            <w:tcMar>
              <w:top w:w="75" w:type="dxa"/>
              <w:bottom w:w="75" w:type="dxa"/>
              <w:left w:w="90" w:type="dxa"/>
              <w:right w:w="90" w:type="dxa"/>
            </w:tcMar>
          </w:tcPr>
          <w:p>
            <w:pPr>
              <w:keepNext w:val="0"/>
              <w:widowControl/>
              <w:spacing w:before="0" w:after="20" w:line="240" w:lineRule="auto"/>
            </w:pPr>
            <w:r>
              <w:rPr>
                <w:b w:val="0"/>
                <w:color w:val="000000"/>
                <w:sz w:val="18"/>
              </w:rPr>
              <w:t>EMP-051</w:t>
            </w:r>
          </w:p>
        </w:tc>
        <w:tc>
          <w:tcPr>
            <w:tcW w:type="dxa" w:w="2847"/>
            <w:vAlign w:val="center"/>
            <w:tcMar>
              <w:top w:w="75" w:type="dxa"/>
              <w:bottom w:w="75" w:type="dxa"/>
              <w:left w:w="90" w:type="dxa"/>
              <w:right w:w="90" w:type="dxa"/>
            </w:tcMar>
          </w:tcPr>
          <w:p>
            <w:pPr>
              <w:keepNext w:val="0"/>
              <w:widowControl/>
              <w:spacing w:before="0" w:after="20" w:line="240" w:lineRule="auto"/>
            </w:pPr>
            <w:r>
              <w:rPr>
                <w:b w:val="0"/>
                <w:color w:val="000000"/>
                <w:sz w:val="18"/>
              </w:rPr>
              <w:t>Juliana Franco</w:t>
            </w:r>
          </w:p>
        </w:tc>
        <w:tc>
          <w:tcPr>
            <w:tcW w:type="dxa" w:w="3660"/>
            <w:vAlign w:val="center"/>
            <w:tcMar>
              <w:top w:w="75" w:type="dxa"/>
              <w:bottom w:w="75" w:type="dxa"/>
              <w:left w:w="90" w:type="dxa"/>
              <w:right w:w="90" w:type="dxa"/>
            </w:tcMar>
          </w:tcPr>
          <w:p>
            <w:pPr>
              <w:keepNext w:val="0"/>
              <w:widowControl/>
              <w:spacing w:before="0" w:after="20" w:line="240" w:lineRule="auto"/>
            </w:pPr>
            <w:r>
              <w:rPr>
                <w:b w:val="0"/>
                <w:color w:val="000000"/>
                <w:sz w:val="18"/>
              </w:rPr>
              <w:t>Ventas B2C</w:t>
            </w:r>
          </w:p>
        </w:tc>
        <w:tc>
          <w:tcPr>
            <w:tcW w:type="dxa" w:w="2338"/>
            <w:vAlign w:val="center"/>
            <w:tcMar>
              <w:top w:w="75" w:type="dxa"/>
              <w:bottom w:w="75" w:type="dxa"/>
              <w:left w:w="90" w:type="dxa"/>
              <w:right w:w="90" w:type="dxa"/>
            </w:tcMar>
          </w:tcPr>
          <w:p>
            <w:pPr>
              <w:keepNext w:val="0"/>
              <w:widowControl/>
              <w:spacing w:before="0" w:after="20" w:line="240" w:lineRule="auto"/>
            </w:pPr>
            <w:r>
              <w:rPr>
                <w:b w:val="0"/>
                <w:color w:val="000000"/>
                <w:sz w:val="18"/>
              </w:rPr>
              <w:t>Activo</w:t>
            </w:r>
          </w:p>
        </w:tc>
      </w:tr>
      <w:tr>
        <w:trPr>
          <w:cantSplit/>
        </w:trPr>
        <w:tc>
          <w:tcPr>
            <w:tcW w:type="dxa" w:w="1322"/>
            <w:vAlign w:val="center"/>
            <w:tcMar>
              <w:top w:w="75" w:type="dxa"/>
              <w:bottom w:w="75" w:type="dxa"/>
              <w:left w:w="90" w:type="dxa"/>
              <w:right w:w="90" w:type="dxa"/>
            </w:tcMar>
          </w:tcPr>
          <w:p>
            <w:pPr>
              <w:keepNext w:val="0"/>
              <w:widowControl/>
              <w:spacing w:before="0" w:after="20" w:line="240" w:lineRule="auto"/>
            </w:pPr>
            <w:r>
              <w:rPr>
                <w:b w:val="0"/>
                <w:color w:val="000000"/>
                <w:sz w:val="18"/>
              </w:rPr>
              <w:t>EMP-067</w:t>
            </w:r>
          </w:p>
        </w:tc>
        <w:tc>
          <w:tcPr>
            <w:tcW w:type="dxa" w:w="2847"/>
            <w:vAlign w:val="center"/>
            <w:tcMar>
              <w:top w:w="75" w:type="dxa"/>
              <w:bottom w:w="75" w:type="dxa"/>
              <w:left w:w="90" w:type="dxa"/>
              <w:right w:w="90" w:type="dxa"/>
            </w:tcMar>
          </w:tcPr>
          <w:p>
            <w:pPr>
              <w:keepNext w:val="0"/>
              <w:widowControl/>
              <w:spacing w:before="0" w:after="20" w:line="240" w:lineRule="auto"/>
            </w:pPr>
            <w:r>
              <w:rPr>
                <w:b w:val="0"/>
                <w:color w:val="000000"/>
                <w:sz w:val="18"/>
              </w:rPr>
              <w:t>Sebastián Vélez</w:t>
            </w:r>
          </w:p>
        </w:tc>
        <w:tc>
          <w:tcPr>
            <w:tcW w:type="dxa" w:w="3660"/>
            <w:vAlign w:val="center"/>
            <w:tcMar>
              <w:top w:w="75" w:type="dxa"/>
              <w:bottom w:w="75" w:type="dxa"/>
              <w:left w:w="90" w:type="dxa"/>
              <w:right w:w="90" w:type="dxa"/>
            </w:tcMar>
          </w:tcPr>
          <w:p>
            <w:pPr>
              <w:keepNext w:val="0"/>
              <w:widowControl/>
              <w:spacing w:before="0" w:after="20" w:line="240" w:lineRule="auto"/>
            </w:pPr>
            <w:r>
              <w:rPr>
                <w:b w:val="0"/>
                <w:color w:val="000000"/>
                <w:sz w:val="18"/>
              </w:rPr>
              <w:t>Ventas B2B</w:t>
            </w:r>
          </w:p>
        </w:tc>
        <w:tc>
          <w:tcPr>
            <w:tcW w:type="dxa" w:w="2338"/>
            <w:vAlign w:val="center"/>
            <w:tcMar>
              <w:top w:w="75" w:type="dxa"/>
              <w:bottom w:w="75" w:type="dxa"/>
              <w:left w:w="90" w:type="dxa"/>
              <w:right w:w="90" w:type="dxa"/>
            </w:tcMar>
          </w:tcPr>
          <w:p>
            <w:pPr>
              <w:keepNext w:val="0"/>
              <w:widowControl/>
              <w:spacing w:before="0" w:after="20" w:line="240" w:lineRule="auto"/>
            </w:pPr>
            <w:r>
              <w:rPr>
                <w:b w:val="0"/>
                <w:color w:val="000000"/>
                <w:sz w:val="18"/>
              </w:rPr>
              <w:t>Activo</w:t>
            </w:r>
          </w:p>
        </w:tc>
      </w:tr>
      <w:tr>
        <w:trPr>
          <w:cantSplit/>
        </w:trPr>
        <w:tc>
          <w:tcPr>
            <w:tcW w:type="dxa" w:w="1322"/>
            <w:vAlign w:val="center"/>
            <w:tcMar>
              <w:top w:w="75" w:type="dxa"/>
              <w:bottom w:w="75" w:type="dxa"/>
              <w:left w:w="90" w:type="dxa"/>
              <w:right w:w="90" w:type="dxa"/>
            </w:tcMar>
          </w:tcPr>
          <w:p>
            <w:pPr>
              <w:keepNext w:val="0"/>
              <w:widowControl/>
              <w:spacing w:before="0" w:after="20" w:line="240" w:lineRule="auto"/>
            </w:pPr>
            <w:r>
              <w:rPr>
                <w:b w:val="0"/>
                <w:color w:val="000000"/>
                <w:sz w:val="18"/>
              </w:rPr>
              <w:t>EMP-097</w:t>
            </w:r>
          </w:p>
        </w:tc>
        <w:tc>
          <w:tcPr>
            <w:tcW w:type="dxa" w:w="2847"/>
            <w:vAlign w:val="center"/>
            <w:tcMar>
              <w:top w:w="75" w:type="dxa"/>
              <w:bottom w:w="75" w:type="dxa"/>
              <w:left w:w="90" w:type="dxa"/>
              <w:right w:w="90" w:type="dxa"/>
            </w:tcMar>
          </w:tcPr>
          <w:p>
            <w:pPr>
              <w:keepNext w:val="0"/>
              <w:widowControl/>
              <w:spacing w:before="0" w:after="20" w:line="240" w:lineRule="auto"/>
            </w:pPr>
            <w:r>
              <w:rPr>
                <w:b w:val="0"/>
                <w:color w:val="000000"/>
                <w:sz w:val="18"/>
              </w:rPr>
              <w:t>Daniela Suárez</w:t>
            </w:r>
          </w:p>
        </w:tc>
        <w:tc>
          <w:tcPr>
            <w:tcW w:type="dxa" w:w="3660"/>
            <w:vAlign w:val="center"/>
            <w:tcMar>
              <w:top w:w="75" w:type="dxa"/>
              <w:bottom w:w="75" w:type="dxa"/>
              <w:left w:w="90" w:type="dxa"/>
              <w:right w:w="90" w:type="dxa"/>
            </w:tcMar>
          </w:tcPr>
          <w:p>
            <w:pPr>
              <w:keepNext w:val="0"/>
              <w:widowControl/>
              <w:spacing w:before="0" w:after="20" w:line="240" w:lineRule="auto"/>
            </w:pPr>
            <w:r>
              <w:rPr>
                <w:b w:val="0"/>
                <w:color w:val="000000"/>
                <w:sz w:val="18"/>
              </w:rPr>
              <w:t>Compras</w:t>
            </w:r>
          </w:p>
        </w:tc>
        <w:tc>
          <w:tcPr>
            <w:tcW w:type="dxa" w:w="2338"/>
            <w:vAlign w:val="center"/>
            <w:tcMar>
              <w:top w:w="75" w:type="dxa"/>
              <w:bottom w:w="75" w:type="dxa"/>
              <w:left w:w="90" w:type="dxa"/>
              <w:right w:w="90" w:type="dxa"/>
            </w:tcMar>
          </w:tcPr>
          <w:p>
            <w:pPr>
              <w:keepNext w:val="0"/>
              <w:widowControl/>
              <w:spacing w:before="0" w:after="20" w:line="240" w:lineRule="auto"/>
            </w:pPr>
            <w:r>
              <w:rPr>
                <w:b w:val="0"/>
                <w:color w:val="000000"/>
                <w:sz w:val="18"/>
              </w:rPr>
              <w:t>Activo</w:t>
            </w:r>
          </w:p>
        </w:tc>
      </w:tr>
      <w:tr>
        <w:trPr>
          <w:cantSplit/>
        </w:trPr>
        <w:tc>
          <w:tcPr>
            <w:tcW w:type="dxa" w:w="1322"/>
            <w:vAlign w:val="center"/>
            <w:tcMar>
              <w:top w:w="75" w:type="dxa"/>
              <w:bottom w:w="75" w:type="dxa"/>
              <w:left w:w="90" w:type="dxa"/>
              <w:right w:w="90" w:type="dxa"/>
            </w:tcMar>
          </w:tcPr>
          <w:p>
            <w:pPr>
              <w:keepNext w:val="0"/>
              <w:widowControl/>
              <w:spacing w:before="0" w:after="20" w:line="240" w:lineRule="auto"/>
            </w:pPr>
            <w:r>
              <w:rPr>
                <w:b w:val="0"/>
                <w:color w:val="000000"/>
                <w:sz w:val="18"/>
              </w:rPr>
              <w:t>EMP-110</w:t>
            </w:r>
          </w:p>
        </w:tc>
        <w:tc>
          <w:tcPr>
            <w:tcW w:type="dxa" w:w="2847"/>
            <w:vAlign w:val="center"/>
            <w:tcMar>
              <w:top w:w="75" w:type="dxa"/>
              <w:bottom w:w="75" w:type="dxa"/>
              <w:left w:w="90" w:type="dxa"/>
              <w:right w:w="90" w:type="dxa"/>
            </w:tcMar>
          </w:tcPr>
          <w:p>
            <w:pPr>
              <w:keepNext w:val="0"/>
              <w:widowControl/>
              <w:spacing w:before="0" w:after="20" w:line="240" w:lineRule="auto"/>
            </w:pPr>
            <w:r>
              <w:rPr>
                <w:b w:val="0"/>
                <w:color w:val="000000"/>
                <w:sz w:val="18"/>
              </w:rPr>
              <w:t>Felipe Ospina</w:t>
            </w:r>
          </w:p>
        </w:tc>
        <w:tc>
          <w:tcPr>
            <w:tcW w:type="dxa" w:w="3660"/>
            <w:vAlign w:val="center"/>
            <w:tcMar>
              <w:top w:w="75" w:type="dxa"/>
              <w:bottom w:w="75" w:type="dxa"/>
              <w:left w:w="90" w:type="dxa"/>
              <w:right w:w="90" w:type="dxa"/>
            </w:tcMar>
          </w:tcPr>
          <w:p>
            <w:pPr>
              <w:keepNext w:val="0"/>
              <w:widowControl/>
              <w:spacing w:before="0" w:after="20" w:line="240" w:lineRule="auto"/>
            </w:pPr>
            <w:r>
              <w:rPr>
                <w:b w:val="0"/>
                <w:color w:val="000000"/>
                <w:sz w:val="18"/>
              </w:rPr>
              <w:t>Logística</w:t>
            </w:r>
          </w:p>
        </w:tc>
        <w:tc>
          <w:tcPr>
            <w:tcW w:type="dxa" w:w="2338"/>
            <w:vAlign w:val="center"/>
            <w:tcMar>
              <w:top w:w="75" w:type="dxa"/>
              <w:bottom w:w="75" w:type="dxa"/>
              <w:left w:w="90" w:type="dxa"/>
              <w:right w:w="90" w:type="dxa"/>
            </w:tcMar>
          </w:tcPr>
          <w:p>
            <w:pPr>
              <w:keepNext w:val="0"/>
              <w:widowControl/>
              <w:spacing w:before="0" w:after="20" w:line="240" w:lineRule="auto"/>
            </w:pPr>
            <w:r>
              <w:rPr>
                <w:b w:val="0"/>
                <w:color w:val="000000"/>
                <w:sz w:val="18"/>
              </w:rPr>
              <w:t>Activo</w:t>
            </w:r>
          </w:p>
        </w:tc>
      </w:tr>
      <w:tr>
        <w:trPr>
          <w:cantSplit/>
        </w:trPr>
        <w:tc>
          <w:tcPr>
            <w:tcW w:type="dxa" w:w="1322"/>
            <w:vAlign w:val="center"/>
            <w:tcMar>
              <w:top w:w="75" w:type="dxa"/>
              <w:bottom w:w="75" w:type="dxa"/>
              <w:left w:w="90" w:type="dxa"/>
              <w:right w:w="90" w:type="dxa"/>
            </w:tcMar>
          </w:tcPr>
          <w:p>
            <w:pPr>
              <w:keepNext w:val="0"/>
              <w:widowControl/>
              <w:spacing w:before="0" w:after="20" w:line="240" w:lineRule="auto"/>
            </w:pPr>
            <w:r>
              <w:rPr>
                <w:b w:val="0"/>
                <w:color w:val="000000"/>
                <w:sz w:val="18"/>
              </w:rPr>
              <w:t>EMP-119</w:t>
            </w:r>
          </w:p>
        </w:tc>
        <w:tc>
          <w:tcPr>
            <w:tcW w:type="dxa" w:w="2847"/>
            <w:vAlign w:val="center"/>
            <w:tcMar>
              <w:top w:w="75" w:type="dxa"/>
              <w:bottom w:w="75" w:type="dxa"/>
              <w:left w:w="90" w:type="dxa"/>
              <w:right w:w="90" w:type="dxa"/>
            </w:tcMar>
          </w:tcPr>
          <w:p>
            <w:pPr>
              <w:keepNext w:val="0"/>
              <w:widowControl/>
              <w:spacing w:before="0" w:after="20" w:line="240" w:lineRule="auto"/>
            </w:pPr>
            <w:r>
              <w:rPr>
                <w:b w:val="0"/>
                <w:color w:val="000000"/>
                <w:sz w:val="18"/>
              </w:rPr>
              <w:t>Paola Cárdenas</w:t>
            </w:r>
          </w:p>
        </w:tc>
        <w:tc>
          <w:tcPr>
            <w:tcW w:type="dxa" w:w="3660"/>
            <w:vAlign w:val="center"/>
            <w:tcMar>
              <w:top w:w="75" w:type="dxa"/>
              <w:bottom w:w="75" w:type="dxa"/>
              <w:left w:w="90" w:type="dxa"/>
              <w:right w:w="90" w:type="dxa"/>
            </w:tcMar>
          </w:tcPr>
          <w:p>
            <w:pPr>
              <w:keepNext w:val="0"/>
              <w:widowControl/>
              <w:spacing w:before="0" w:after="20" w:line="240" w:lineRule="auto"/>
            </w:pPr>
            <w:r>
              <w:rPr>
                <w:b w:val="0"/>
                <w:color w:val="000000"/>
                <w:sz w:val="18"/>
              </w:rPr>
              <w:t>Inventarios</w:t>
            </w:r>
          </w:p>
        </w:tc>
        <w:tc>
          <w:tcPr>
            <w:tcW w:type="dxa" w:w="2338"/>
            <w:vAlign w:val="center"/>
            <w:tcMar>
              <w:top w:w="75" w:type="dxa"/>
              <w:bottom w:w="75" w:type="dxa"/>
              <w:left w:w="90" w:type="dxa"/>
              <w:right w:w="90" w:type="dxa"/>
            </w:tcMar>
          </w:tcPr>
          <w:p>
            <w:pPr>
              <w:keepNext w:val="0"/>
              <w:widowControl/>
              <w:spacing w:before="0" w:after="20" w:line="240" w:lineRule="auto"/>
            </w:pPr>
            <w:r>
              <w:rPr>
                <w:b w:val="0"/>
                <w:color w:val="000000"/>
                <w:sz w:val="18"/>
              </w:rPr>
              <w:t>Activo</w:t>
            </w:r>
          </w:p>
        </w:tc>
      </w:tr>
      <w:tr>
        <w:trPr>
          <w:cantSplit/>
        </w:trPr>
        <w:tc>
          <w:tcPr>
            <w:tcW w:type="dxa" w:w="1322"/>
            <w:vAlign w:val="center"/>
            <w:tcMar>
              <w:top w:w="75" w:type="dxa"/>
              <w:bottom w:w="75" w:type="dxa"/>
              <w:left w:w="90" w:type="dxa"/>
              <w:right w:w="90" w:type="dxa"/>
            </w:tcMar>
          </w:tcPr>
          <w:p>
            <w:pPr>
              <w:keepNext w:val="0"/>
              <w:widowControl/>
              <w:spacing w:before="0" w:after="20" w:line="240" w:lineRule="auto"/>
            </w:pPr>
            <w:r>
              <w:rPr>
                <w:b w:val="0"/>
                <w:color w:val="000000"/>
                <w:sz w:val="18"/>
              </w:rPr>
              <w:t>EMP-132</w:t>
            </w:r>
          </w:p>
        </w:tc>
        <w:tc>
          <w:tcPr>
            <w:tcW w:type="dxa" w:w="2847"/>
            <w:vAlign w:val="center"/>
            <w:tcMar>
              <w:top w:w="75" w:type="dxa"/>
              <w:bottom w:w="75" w:type="dxa"/>
              <w:left w:w="90" w:type="dxa"/>
              <w:right w:w="90" w:type="dxa"/>
            </w:tcMar>
          </w:tcPr>
          <w:p>
            <w:pPr>
              <w:keepNext w:val="0"/>
              <w:widowControl/>
              <w:spacing w:before="0" w:after="20" w:line="240" w:lineRule="auto"/>
            </w:pPr>
            <w:r>
              <w:rPr>
                <w:b w:val="0"/>
                <w:color w:val="000000"/>
                <w:sz w:val="18"/>
              </w:rPr>
              <w:t>Óscar Benítez</w:t>
            </w:r>
          </w:p>
        </w:tc>
        <w:tc>
          <w:tcPr>
            <w:tcW w:type="dxa" w:w="3660"/>
            <w:vAlign w:val="center"/>
            <w:tcMar>
              <w:top w:w="75" w:type="dxa"/>
              <w:bottom w:w="75" w:type="dxa"/>
              <w:left w:w="90" w:type="dxa"/>
              <w:right w:w="90" w:type="dxa"/>
            </w:tcMar>
          </w:tcPr>
          <w:p>
            <w:pPr>
              <w:keepNext w:val="0"/>
              <w:widowControl/>
              <w:spacing w:before="0" w:after="20" w:line="240" w:lineRule="auto"/>
            </w:pPr>
            <w:r>
              <w:rPr>
                <w:b w:val="0"/>
                <w:color w:val="000000"/>
                <w:sz w:val="18"/>
              </w:rPr>
              <w:t>Montaje</w:t>
            </w:r>
          </w:p>
        </w:tc>
        <w:tc>
          <w:tcPr>
            <w:tcW w:type="dxa" w:w="2338"/>
            <w:vAlign w:val="center"/>
            <w:tcMar>
              <w:top w:w="75" w:type="dxa"/>
              <w:bottom w:w="75" w:type="dxa"/>
              <w:left w:w="90" w:type="dxa"/>
              <w:right w:w="90" w:type="dxa"/>
            </w:tcMar>
          </w:tcPr>
          <w:p>
            <w:pPr>
              <w:keepNext w:val="0"/>
              <w:widowControl/>
              <w:spacing w:before="0" w:after="20" w:line="240" w:lineRule="auto"/>
            </w:pPr>
            <w:r>
              <w:rPr>
                <w:b w:val="0"/>
                <w:color w:val="000000"/>
                <w:sz w:val="18"/>
              </w:rPr>
              <w:t>Activo</w:t>
            </w:r>
          </w:p>
        </w:tc>
      </w:tr>
      <w:tr>
        <w:trPr>
          <w:cantSplit/>
        </w:trPr>
        <w:tc>
          <w:tcPr>
            <w:tcW w:type="dxa" w:w="1322"/>
            <w:vAlign w:val="center"/>
            <w:tcMar>
              <w:top w:w="75" w:type="dxa"/>
              <w:bottom w:w="75" w:type="dxa"/>
              <w:left w:w="90" w:type="dxa"/>
              <w:right w:w="90" w:type="dxa"/>
            </w:tcMar>
          </w:tcPr>
          <w:p>
            <w:pPr>
              <w:keepNext w:val="0"/>
              <w:widowControl/>
              <w:spacing w:before="0" w:after="20" w:line="240" w:lineRule="auto"/>
            </w:pPr>
            <w:r>
              <w:rPr>
                <w:b w:val="0"/>
                <w:color w:val="000000"/>
                <w:sz w:val="18"/>
              </w:rPr>
              <w:t>EMP-153</w:t>
            </w:r>
          </w:p>
        </w:tc>
        <w:tc>
          <w:tcPr>
            <w:tcW w:type="dxa" w:w="2847"/>
            <w:vAlign w:val="center"/>
            <w:tcMar>
              <w:top w:w="75" w:type="dxa"/>
              <w:bottom w:w="75" w:type="dxa"/>
              <w:left w:w="90" w:type="dxa"/>
              <w:right w:w="90" w:type="dxa"/>
            </w:tcMar>
          </w:tcPr>
          <w:p>
            <w:pPr>
              <w:keepNext w:val="0"/>
              <w:widowControl/>
              <w:spacing w:before="0" w:after="20" w:line="240" w:lineRule="auto"/>
            </w:pPr>
            <w:r>
              <w:rPr>
                <w:b w:val="0"/>
                <w:color w:val="000000"/>
                <w:sz w:val="18"/>
              </w:rPr>
              <w:t>Santiago Robledo</w:t>
            </w:r>
          </w:p>
        </w:tc>
        <w:tc>
          <w:tcPr>
            <w:tcW w:type="dxa" w:w="3660"/>
            <w:vAlign w:val="center"/>
            <w:tcMar>
              <w:top w:w="75" w:type="dxa"/>
              <w:bottom w:w="75" w:type="dxa"/>
              <w:left w:w="90" w:type="dxa"/>
              <w:right w:w="90" w:type="dxa"/>
            </w:tcMar>
          </w:tcPr>
          <w:p>
            <w:pPr>
              <w:keepNext w:val="0"/>
              <w:widowControl/>
              <w:spacing w:before="0" w:after="20" w:line="240" w:lineRule="auto"/>
            </w:pPr>
            <w:r>
              <w:rPr>
                <w:b w:val="0"/>
                <w:color w:val="000000"/>
                <w:sz w:val="18"/>
              </w:rPr>
              <w:t>Tecnología</w:t>
            </w:r>
          </w:p>
        </w:tc>
        <w:tc>
          <w:tcPr>
            <w:tcW w:type="dxa" w:w="2338"/>
            <w:vAlign w:val="center"/>
            <w:tcMar>
              <w:top w:w="75" w:type="dxa"/>
              <w:bottom w:w="75" w:type="dxa"/>
              <w:left w:w="90" w:type="dxa"/>
              <w:right w:w="90" w:type="dxa"/>
            </w:tcMar>
          </w:tcPr>
          <w:p>
            <w:pPr>
              <w:keepNext w:val="0"/>
              <w:widowControl/>
              <w:spacing w:before="0" w:after="20" w:line="240" w:lineRule="auto"/>
            </w:pPr>
            <w:r>
              <w:rPr>
                <w:b w:val="0"/>
                <w:color w:val="000000"/>
                <w:sz w:val="18"/>
              </w:rPr>
              <w:t>Activo</w:t>
            </w:r>
          </w:p>
        </w:tc>
      </w:tr>
      <w:tr>
        <w:trPr>
          <w:cantSplit/>
        </w:trPr>
        <w:tc>
          <w:tcPr>
            <w:tcW w:type="dxa" w:w="1322"/>
            <w:vAlign w:val="center"/>
            <w:tcMar>
              <w:top w:w="75" w:type="dxa"/>
              <w:bottom w:w="75" w:type="dxa"/>
              <w:left w:w="90" w:type="dxa"/>
              <w:right w:w="90" w:type="dxa"/>
            </w:tcMar>
          </w:tcPr>
          <w:p>
            <w:pPr>
              <w:keepNext w:val="0"/>
              <w:widowControl/>
              <w:spacing w:before="0" w:after="20" w:line="240" w:lineRule="auto"/>
            </w:pPr>
            <w:r>
              <w:rPr>
                <w:b w:val="0"/>
                <w:color w:val="000000"/>
                <w:sz w:val="18"/>
              </w:rPr>
              <w:t>EMP-163</w:t>
            </w:r>
          </w:p>
        </w:tc>
        <w:tc>
          <w:tcPr>
            <w:tcW w:type="dxa" w:w="2847"/>
            <w:vAlign w:val="center"/>
            <w:tcMar>
              <w:top w:w="75" w:type="dxa"/>
              <w:bottom w:w="75" w:type="dxa"/>
              <w:left w:w="90" w:type="dxa"/>
              <w:right w:w="90" w:type="dxa"/>
            </w:tcMar>
          </w:tcPr>
          <w:p>
            <w:pPr>
              <w:keepNext w:val="0"/>
              <w:widowControl/>
              <w:spacing w:before="0" w:after="20" w:line="240" w:lineRule="auto"/>
            </w:pPr>
            <w:r>
              <w:rPr>
                <w:b w:val="0"/>
                <w:color w:val="000000"/>
                <w:sz w:val="18"/>
              </w:rPr>
              <w:t>Isabel Restrepo</w:t>
            </w:r>
          </w:p>
        </w:tc>
        <w:tc>
          <w:tcPr>
            <w:tcW w:type="dxa" w:w="3660"/>
            <w:vAlign w:val="center"/>
            <w:tcMar>
              <w:top w:w="75" w:type="dxa"/>
              <w:bottom w:w="75" w:type="dxa"/>
              <w:left w:w="90" w:type="dxa"/>
              <w:right w:w="90" w:type="dxa"/>
            </w:tcMar>
          </w:tcPr>
          <w:p>
            <w:pPr>
              <w:keepNext w:val="0"/>
              <w:widowControl/>
              <w:spacing w:before="0" w:after="20" w:line="240" w:lineRule="auto"/>
            </w:pPr>
            <w:r>
              <w:rPr>
                <w:b w:val="0"/>
                <w:color w:val="000000"/>
                <w:sz w:val="18"/>
              </w:rPr>
              <w:t>Diseño de espacios</w:t>
            </w:r>
          </w:p>
        </w:tc>
        <w:tc>
          <w:tcPr>
            <w:tcW w:type="dxa" w:w="2338"/>
            <w:vAlign w:val="center"/>
            <w:tcMar>
              <w:top w:w="75" w:type="dxa"/>
              <w:bottom w:w="75" w:type="dxa"/>
              <w:left w:w="90" w:type="dxa"/>
              <w:right w:w="90" w:type="dxa"/>
            </w:tcMar>
          </w:tcPr>
          <w:p>
            <w:pPr>
              <w:keepNext w:val="0"/>
              <w:widowControl/>
              <w:spacing w:before="0" w:after="20" w:line="240" w:lineRule="auto"/>
            </w:pPr>
            <w:r>
              <w:rPr>
                <w:b w:val="0"/>
                <w:color w:val="000000"/>
                <w:sz w:val="18"/>
              </w:rPr>
              <w:t>Activo</w:t>
            </w:r>
          </w:p>
        </w:tc>
      </w:tr>
      <w:tr>
        <w:trPr>
          <w:cantSplit/>
        </w:trPr>
        <w:tc>
          <w:tcPr>
            <w:tcW w:type="dxa" w:w="1322"/>
            <w:vAlign w:val="center"/>
            <w:tcMar>
              <w:top w:w="75" w:type="dxa"/>
              <w:bottom w:w="75" w:type="dxa"/>
              <w:left w:w="90" w:type="dxa"/>
              <w:right w:w="90" w:type="dxa"/>
            </w:tcMar>
          </w:tcPr>
          <w:p>
            <w:pPr>
              <w:keepNext w:val="0"/>
              <w:widowControl/>
              <w:spacing w:before="0" w:after="20" w:line="240" w:lineRule="auto"/>
            </w:pPr>
            <w:r>
              <w:rPr>
                <w:b w:val="0"/>
                <w:color w:val="000000"/>
                <w:sz w:val="18"/>
              </w:rPr>
              <w:t>EMP-185</w:t>
            </w:r>
          </w:p>
        </w:tc>
        <w:tc>
          <w:tcPr>
            <w:tcW w:type="dxa" w:w="2847"/>
            <w:vAlign w:val="center"/>
            <w:tcMar>
              <w:top w:w="75" w:type="dxa"/>
              <w:bottom w:w="75" w:type="dxa"/>
              <w:left w:w="90" w:type="dxa"/>
              <w:right w:w="90" w:type="dxa"/>
            </w:tcMar>
          </w:tcPr>
          <w:p>
            <w:pPr>
              <w:keepNext w:val="0"/>
              <w:widowControl/>
              <w:spacing w:before="0" w:after="20" w:line="240" w:lineRule="auto"/>
            </w:pPr>
            <w:r>
              <w:rPr>
                <w:b w:val="0"/>
                <w:color w:val="000000"/>
                <w:sz w:val="18"/>
              </w:rPr>
              <w:t>Natalia Escobar</w:t>
            </w:r>
          </w:p>
        </w:tc>
        <w:tc>
          <w:tcPr>
            <w:tcW w:type="dxa" w:w="3660"/>
            <w:vAlign w:val="center"/>
            <w:tcMar>
              <w:top w:w="75" w:type="dxa"/>
              <w:bottom w:w="75" w:type="dxa"/>
              <w:left w:w="90" w:type="dxa"/>
              <w:right w:w="90" w:type="dxa"/>
            </w:tcMar>
          </w:tcPr>
          <w:p>
            <w:pPr>
              <w:keepNext w:val="0"/>
              <w:widowControl/>
              <w:spacing w:before="0" w:after="20" w:line="240" w:lineRule="auto"/>
            </w:pPr>
            <w:r>
              <w:rPr>
                <w:b w:val="0"/>
                <w:color w:val="000000"/>
                <w:sz w:val="18"/>
              </w:rPr>
              <w:t>Legal y cumplimiento</w:t>
            </w:r>
          </w:p>
        </w:tc>
        <w:tc>
          <w:tcPr>
            <w:tcW w:type="dxa" w:w="2338"/>
            <w:vAlign w:val="center"/>
            <w:tcMar>
              <w:top w:w="75" w:type="dxa"/>
              <w:bottom w:w="75" w:type="dxa"/>
              <w:left w:w="90" w:type="dxa"/>
              <w:right w:w="90" w:type="dxa"/>
            </w:tcMar>
          </w:tcPr>
          <w:p>
            <w:pPr>
              <w:keepNext w:val="0"/>
              <w:widowControl/>
              <w:spacing w:before="0" w:after="20" w:line="240" w:lineRule="auto"/>
            </w:pPr>
            <w:r>
              <w:rPr>
                <w:b w:val="0"/>
                <w:color w:val="000000"/>
                <w:sz w:val="18"/>
              </w:rPr>
              <w:t>Activo</w:t>
            </w:r>
          </w:p>
        </w:tc>
      </w:tr>
    </w:tbl>
    <w:p>
      <w:pPr>
        <w:spacing w:after="20" w:before="0" w:line="240" w:lineRule="auto"/>
      </w:pPr>
      <w:r>
        <w:rPr>
          <w:sz w:val="4"/>
        </w:rPr>
      </w:r>
    </w:p>
    <w:p>
      <w:pPr>
        <w:pStyle w:val="Heading1"/>
      </w:pPr>
      <w:r>
        <w:t>Identificación y acceso</w:t>
      </w:r>
    </w:p>
    <w:p>
      <w:r>
        <w:t>La identidad de una persona se resuelve por su código de empleado. Nombres repetidos, variaciones de tilde o abreviaturas no autorizan fusionar registros. La responsabilidad de un proceso se asigna por función y delegación documentada; un rol de aplicación como superadmin no demuestra competencia para aprobar una operación técnica.</w:t>
      </w:r>
    </w:p>
    <w:p>
      <w:r>
        <w:t>Los alias de correo de la base de referencia no se utilizan para enviar invitaciones ni comunicaciones desde este expediente. La muestra documental omite correos porque no son necesarios para describir los procesos. El registro completo de 200 personas se conserva como archivo estructurado auxiliar de prueba.</w:t>
      </w:r>
    </w:p>
    <w:p>
      <w:pPr>
        <w:pStyle w:val="Heading1"/>
      </w:pPr>
      <w:r>
        <w:t>Documentos relacionados</w:t>
      </w:r>
    </w:p>
    <w:p>
      <w:r>
        <w:t>CC-CP-01 | CC-CP-03 | CC-PR-05</w:t>
      </w:r>
    </w:p>
    <w:p>
      <w:pPr>
        <w:pStyle w:val="Heading1"/>
      </w:pPr>
      <w:r>
        <w:t>Historial de cambios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43"/>
        <w:gridCol w:w="4270"/>
        <w:gridCol w:w="3253"/>
      </w:tblGrid>
      <w:tr>
        <w:trPr>
          <w:tblHeader w:val="true"/>
          <w:cantSplit/>
        </w:trPr>
        <w:tc>
          <w:tcPr>
            <w:tcW w:type="dxa" w:w="264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Revisión</w:t>
            </w:r>
          </w:p>
        </w:tc>
        <w:tc>
          <w:tcPr>
            <w:tcW w:type="dxa" w:w="427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Fecha</w:t>
            </w:r>
          </w:p>
        </w:tc>
        <w:tc>
          <w:tcPr>
            <w:tcW w:type="dxa" w:w="325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Cambio registrado</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01</w:t>
            </w:r>
          </w:p>
        </w:tc>
        <w:tc>
          <w:tcPr>
            <w:tcW w:type="dxa" w:w="4270"/>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2025-12-31</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Consolidación del expediente al cierre de 2025.</w:t>
            </w:r>
          </w:p>
        </w:tc>
      </w:tr>
    </w:tbl>
    <w:p>
      <w:pPr>
        <w:spacing w:after="20" w:before="0" w:line="240" w:lineRule="auto"/>
      </w:pPr>
      <w:r>
        <w:rPr>
          <w:sz w:val="4"/>
        </w:rPr>
      </w:r>
    </w:p>
    <w:p>
      <w:r>
        <w:br w:type="page"/>
      </w:r>
    </w:p>
    <w:p>
      <w:pPr>
        <w:pStyle w:val="Title"/>
      </w:pPr>
      <w:r>
        <w:t>Dirección y gestión del sistema de calidad</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0"/>
        <w:gridCol w:w="2847"/>
        <w:gridCol w:w="2440"/>
        <w:gridCol w:w="2440"/>
      </w:tblGrid>
      <w:tr>
        <w:trPr>
          <w:tblHeader w:val="true"/>
          <w:cantSplit/>
        </w:trPr>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Código</w:t>
            </w:r>
          </w:p>
        </w:tc>
        <w:tc>
          <w:tcPr>
            <w:tcW w:type="dxa" w:w="2847"/>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Revisión</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Emisión</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Estado</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CC-CP-01</w:t>
            </w:r>
          </w:p>
        </w:tc>
        <w:tc>
          <w:tcPr>
            <w:tcW w:type="dxa" w:w="284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04</w:t>
            </w:r>
          </w:p>
        </w:tc>
        <w:tc>
          <w:tcPr>
            <w:tcW w:type="dxa" w:w="2440"/>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2025-10-06</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Vigente</w:t>
            </w:r>
          </w:p>
        </w:tc>
      </w:tr>
    </w:tbl>
    <w:p>
      <w:pPr>
        <w:spacing w:after="20" w:before="0" w:line="240" w:lineRule="auto"/>
      </w:pPr>
      <w:r>
        <w:rPr>
          <w:sz w:val="4"/>
        </w:rPr>
      </w:r>
    </w:p>
    <w:p>
      <w:pPr>
        <w:spacing w:after="60"/>
      </w:pPr>
      <w:r>
        <w:rPr>
          <w:b/>
        </w:rPr>
        <w:t xml:space="preserve">Tipo y área: </w:t>
      </w:r>
      <w:r>
        <w:t>Caracterización de proceso | Dirección general</w:t>
      </w:r>
    </w:p>
    <w:p>
      <w:pPr>
        <w:spacing w:after="60"/>
      </w:pPr>
      <w:r>
        <w:rPr>
          <w:b/>
        </w:rPr>
        <w:t xml:space="preserve">Responsable: </w:t>
      </w:r>
      <w:r>
        <w:t>Valentina Ríos | Directora general</w:t>
      </w:r>
    </w:p>
    <w:p>
      <w:pPr>
        <w:spacing w:after="60"/>
      </w:pPr>
      <w:r>
        <w:rPr>
          <w:b/>
        </w:rPr>
        <w:t xml:space="preserve">Aprobación interna: </w:t>
      </w:r>
      <w:r>
        <w:t>Valentina Ríos</w:t>
      </w:r>
    </w:p>
    <w:p>
      <w:pPr>
        <w:spacing w:before="100"/>
      </w:pPr>
      <w:r>
        <w:t>La Dirección define el rumbo de Company Co, asigna recursos y revisa si las operaciones cumplen lo prometido a los clientes. Este proceso cubre las cinco instalaciones, los canales B2B y B2C y la coordinación de los 17 departamentos.</w:t>
      </w:r>
    </w:p>
    <w:p>
      <w:r>
        <w:rPr>
          <w:sz w:val="18"/>
        </w:rPr>
        <w:t>Referencia temática ISO 9001:2015: 4.1, 4.2, 4.3, 4.4, 5.1, 5.2, 5.3, 6.2, 9.3.</w:t>
      </w:r>
    </w:p>
    <w:p>
      <w:pPr>
        <w:pStyle w:val="Heading1"/>
      </w:pPr>
      <w:r>
        <w:t>Propósito y alcance</w:t>
      </w:r>
    </w:p>
    <w:p>
      <w:r>
        <w:t>El sistema comprende consultoría, diseño de espacios para cafeterías, comercialización de equipos e insumos, montaje, capacitación y posventa. La Dirección revisa tanto resultados financieros como calidad del servicio; una venta cerrada no compensa una entrega incompleta o una instalación pendiente de liberación. La fabricación de los equipos corresponde a proveedores externos y se controla desde Compras.</w:t>
      </w:r>
    </w:p>
    <w:p>
      <w:pPr>
        <w:pStyle w:val="Heading1"/>
      </w:pPr>
      <w:r>
        <w:t>Entradas y resultados</w:t>
      </w:r>
    </w:p>
    <w:p>
      <w:r>
        <w:t>Recibimos de Finanzas el cierre por canal; de Servicio al cliente, reclamos y satisfacción; de Calidad, auditorías y acciones; y de los demás líderes, capacidad, riesgos y propuestas. Entregamos prioridades, metas, presupuesto autorizado y decisiones con responsable y vencimiento. Los cambios de alcance se comunican a Ventas, Consultoría y Diseño antes de ofrecerlos al mercado.</w:t>
      </w:r>
    </w:p>
    <w:p>
      <w:pPr>
        <w:pStyle w:val="Heading1"/>
      </w:pPr>
      <w:r>
        <w:t>Responsables y autoridad</w:t>
      </w:r>
    </w:p>
    <w:p>
      <w:r>
        <w:t>Valentina Ríos aprueba política, objetivos y cambios mayores. Ricardo Muñoz consolida la información del sistema y verifica el seguimiento. Cada líder responde por la precisión de sus datos y por elevar desviaciones que no pueda resolver. Una suplencia debe indicar límites y duración; la delegación DG-2025-017 mantiene a Clara Ramírez como encargada operativa de Talento humano, sin modificar el registro de Camila Duarte.</w:t>
      </w:r>
    </w:p>
    <w:p>
      <w:pPr>
        <w:pStyle w:val="Heading1"/>
      </w:pPr>
      <w:r>
        <w:t>Actividades y controles</w:t>
      </w:r>
    </w:p>
    <w:p>
      <w:pPr>
        <w:ind w:left="216" w:hanging="216"/>
      </w:pPr>
      <w:r>
        <w:t>1. Revisar trimestralmente contexto, interesados y cambios del negocio en CC-MT-01, incluyendo efectos del clima sobre transporte, suministro de café y continuidad de servicios.</w:t>
      </w:r>
    </w:p>
    <w:p>
      <w:pPr>
        <w:ind w:left="216" w:hanging="216"/>
      </w:pPr>
      <w:r>
        <w:t>2. Contrastar la política con las necesidades del cliente y la capacidad disponible. Si un compromiso comercial supera esa capacidad, decidir recursos o ajustar la promesa antes de aceptarla.</w:t>
      </w:r>
    </w:p>
    <w:p>
      <w:pPr>
        <w:ind w:left="216" w:hanging="216"/>
      </w:pPr>
      <w:r>
        <w:t>3. Aprobar objetivos con fórmula, responsable y plazo en CC-MT-02. Conservar por separado la línea base anual y el resultado de cada periodo.</w:t>
      </w:r>
    </w:p>
    <w:p>
      <w:pPr>
        <w:ind w:left="216" w:hanging="216"/>
      </w:pPr>
      <w:r>
        <w:t>4. Asignar presupuesto y responsables a las acciones priorizadas. Finanzas verifica disponibilidad y cada área confirma la fecha viable de ejecución.</w:t>
      </w:r>
    </w:p>
    <w:p>
      <w:pPr>
        <w:ind w:left="216" w:hanging="216"/>
      </w:pPr>
      <w:r>
        <w:t>5. Celebrar seguimiento mensual de desviaciones. Las entregas fuera de plazo o reclamos repetidos requieren análisis, aunque el promedio comercial sea favorable.</w:t>
      </w:r>
    </w:p>
    <w:p>
      <w:pPr>
        <w:ind w:left="216" w:hanging="216"/>
      </w:pPr>
      <w:r>
        <w:t>6. Realizar la revisión anual por la dirección usando CC-AC-01. Registrar decisiones sobre recursos, oportunidades, eficacia de acciones y cambios del sistema.</w:t>
      </w:r>
    </w:p>
    <w:p>
      <w:pPr>
        <w:ind w:left="216" w:hanging="216"/>
      </w:pPr>
      <w:r>
        <w:t>7. Verificar el cierre con evidencia del resultado, no solo con la declaración del responsable. Reprogramar una acción conserva su fecha original y la razón del cambio.</w:t>
      </w:r>
    </w:p>
    <w:p>
      <w:pPr>
        <w:pStyle w:val="Heading1"/>
      </w:pPr>
      <w:r>
        <w:t>Riesgos y respuesta</w:t>
      </w:r>
    </w:p>
    <w:p>
      <w:pPr>
        <w:pStyle w:val="ListBullet"/>
      </w:pPr>
      <w:r>
        <w:t>Datos incompatibles entre áreas: Calidad identifica fuente, periodo y unidad antes de consolidarlos; un indicador sin soporte queda pendiente de validación.</w:t>
      </w:r>
    </w:p>
    <w:p>
      <w:pPr>
        <w:pStyle w:val="ListBullet"/>
      </w:pPr>
      <w:r>
        <w:t>Crecimiento superior a la capacidad: revisar carga de montaje, stock y proveedores antes de aprobar campañas o contratos relevantes.</w:t>
      </w:r>
    </w:p>
    <w:p>
      <w:pPr>
        <w:pStyle w:val="ListBullet"/>
      </w:pPr>
      <w:r>
        <w:t>Decisiones verbales sin seguimiento: registrar el acuerdo, dueño y vencimiento en el acta correspondiente dentro de dos días hábiles.</w:t>
      </w:r>
    </w:p>
    <w:p>
      <w:pPr>
        <w:pStyle w:val="Heading1"/>
      </w:pPr>
      <w:r>
        <w:t>Indicadores de control</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43"/>
        <w:gridCol w:w="4270"/>
        <w:gridCol w:w="3253"/>
      </w:tblGrid>
      <w:tr>
        <w:trPr>
          <w:tblHeader w:val="true"/>
          <w:cantSplit/>
        </w:trPr>
        <w:tc>
          <w:tcPr>
            <w:tcW w:type="dxa" w:w="264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Indicador y fórmula</w:t>
            </w:r>
          </w:p>
        </w:tc>
        <w:tc>
          <w:tcPr>
            <w:tcW w:type="dxa" w:w="427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Meta</w:t>
            </w:r>
          </w:p>
        </w:tc>
        <w:tc>
          <w:tcPr>
            <w:tcW w:type="dxa" w:w="325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Frecuencia y responsable</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Acciones directivas oportunas = cerradas en plazo / vencidas en el periodo × 100</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90 % o más</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Mensual | Ricardo Muñoz</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Revisiones con entradas completas = revisiones con todos los insumos / revisiones realizadas × 100</w:t>
            </w:r>
          </w:p>
        </w:tc>
        <w:tc>
          <w:tcPr>
            <w:tcW w:type="dxa" w:w="4270"/>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100 %</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Trimestral | Valentina Ríos</w:t>
            </w:r>
          </w:p>
        </w:tc>
      </w:tr>
    </w:tbl>
    <w:p>
      <w:pPr>
        <w:spacing w:after="20" w:before="0" w:line="240" w:lineRule="auto"/>
      </w:pPr>
      <w:r>
        <w:rPr>
          <w:sz w:val="4"/>
        </w:rPr>
      </w:r>
    </w:p>
    <w:p>
      <w:pPr>
        <w:pStyle w:val="Heading1"/>
      </w:pPr>
      <w:r>
        <w:t>Recursos y registros</w:t>
      </w:r>
    </w:p>
    <w:p>
      <w:r>
        <w:t>Se utilizan el tablero de gestión, el repositorio documental y reuniones con los líderes. Las actas conservan asistentes, decisiones y evidencia enlazada. CC-AC-01 presenta una muestra de revisión; CC-MT-01 y CC-MT-02 contienen el contexto y los objetivos. La aprobación registrada es una decisión interna y no sustituye la evaluación externa de conformidad.</w:t>
      </w:r>
    </w:p>
    <w:p>
      <w:pPr>
        <w:pStyle w:val="Heading1"/>
      </w:pPr>
      <w:r>
        <w:t>Criterio de cierre e interacción</w:t>
      </w:r>
    </w:p>
    <w:p>
      <w:r>
        <w:t>El ciclo queda cerrado cuando las decisiones están comunicadas y su eficacia ha sido revisada. Las necesidades de personas pasan a Talento humano, las de presupuesto a Finanzas y las de cambios al responsable del proceso afectado. Calidad verifica la integridad del seguimiento en la siguiente revisión.</w:t>
      </w:r>
    </w:p>
    <w:p>
      <w:pPr>
        <w:pStyle w:val="Heading1"/>
      </w:pPr>
      <w:r>
        <w:t>Documentos relacionados</w:t>
      </w:r>
    </w:p>
    <w:p>
      <w:r>
        <w:t>CC-MC-01 | CC-MT-01 | CC-MT-02 | CC-AC-01 | CC-CP-02 | CC-CP-03 | CC-CP-16</w:t>
      </w:r>
    </w:p>
    <w:p>
      <w:pPr>
        <w:pStyle w:val="Heading1"/>
      </w:pPr>
      <w:r>
        <w:t>Historial de cambios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43"/>
        <w:gridCol w:w="4270"/>
        <w:gridCol w:w="3253"/>
      </w:tblGrid>
      <w:tr>
        <w:trPr>
          <w:tblHeader w:val="true"/>
          <w:cantSplit/>
        </w:trPr>
        <w:tc>
          <w:tcPr>
            <w:tcW w:type="dxa" w:w="264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Revisión</w:t>
            </w:r>
          </w:p>
        </w:tc>
        <w:tc>
          <w:tcPr>
            <w:tcW w:type="dxa" w:w="427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Fecha</w:t>
            </w:r>
          </w:p>
        </w:tc>
        <w:tc>
          <w:tcPr>
            <w:tcW w:type="dxa" w:w="325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Cambio registrado</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04</w:t>
            </w:r>
          </w:p>
        </w:tc>
        <w:tc>
          <w:tcPr>
            <w:tcW w:type="dxa" w:w="4270"/>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2025-10-06</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Se precisa el control de suplencias y la verificación de eficacia de acuerdos.</w:t>
            </w:r>
          </w:p>
        </w:tc>
      </w:tr>
    </w:tbl>
    <w:p>
      <w:pPr>
        <w:spacing w:after="20" w:before="0" w:line="240" w:lineRule="auto"/>
      </w:pPr>
      <w:r>
        <w:rPr>
          <w:sz w:val="4"/>
        </w:rPr>
      </w:r>
    </w:p>
    <w:p>
      <w:r>
        <w:br w:type="page"/>
      </w:r>
    </w:p>
    <w:p>
      <w:pPr>
        <w:pStyle w:val="Title"/>
      </w:pPr>
      <w:r>
        <w:t>Gestión financiera facturación y cartera</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0"/>
        <w:gridCol w:w="2847"/>
        <w:gridCol w:w="2440"/>
        <w:gridCol w:w="2440"/>
      </w:tblGrid>
      <w:tr>
        <w:trPr>
          <w:tblHeader w:val="true"/>
          <w:cantSplit/>
        </w:trPr>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Código</w:t>
            </w:r>
          </w:p>
        </w:tc>
        <w:tc>
          <w:tcPr>
            <w:tcW w:type="dxa" w:w="2847"/>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Revisión</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Emisión</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Estado</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CC-CP-02</w:t>
            </w:r>
          </w:p>
        </w:tc>
        <w:tc>
          <w:tcPr>
            <w:tcW w:type="dxa" w:w="284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03</w:t>
            </w:r>
          </w:p>
        </w:tc>
        <w:tc>
          <w:tcPr>
            <w:tcW w:type="dxa" w:w="2440"/>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2025-07-14</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Vigente</w:t>
            </w:r>
          </w:p>
        </w:tc>
      </w:tr>
    </w:tbl>
    <w:p>
      <w:pPr>
        <w:spacing w:after="20" w:before="0" w:line="240" w:lineRule="auto"/>
      </w:pPr>
      <w:r>
        <w:rPr>
          <w:sz w:val="4"/>
        </w:rPr>
      </w:r>
    </w:p>
    <w:p>
      <w:pPr>
        <w:spacing w:after="60"/>
      </w:pPr>
      <w:r>
        <w:rPr>
          <w:b/>
        </w:rPr>
        <w:t xml:space="preserve">Tipo y área: </w:t>
      </w:r>
      <w:r>
        <w:t>Caracterización de proceso | Finanzas</w:t>
      </w:r>
    </w:p>
    <w:p>
      <w:pPr>
        <w:spacing w:after="60"/>
      </w:pPr>
      <w:r>
        <w:rPr>
          <w:b/>
        </w:rPr>
        <w:t xml:space="preserve">Responsable: </w:t>
      </w:r>
      <w:r>
        <w:t>Mateo Salcedo | Líder de Finanzas</w:t>
      </w:r>
    </w:p>
    <w:p>
      <w:pPr>
        <w:spacing w:after="60"/>
      </w:pPr>
      <w:r>
        <w:rPr>
          <w:b/>
        </w:rPr>
        <w:t xml:space="preserve">Aprobación interna: </w:t>
      </w:r>
      <w:r>
        <w:t>Valentina Ríos</w:t>
      </w:r>
    </w:p>
    <w:p>
      <w:pPr>
        <w:spacing w:before="100"/>
      </w:pPr>
      <w:r>
        <w:t>Finanzas convierte las operaciones autorizadas en facturas, cobros, pagos y datos confiables para decidir. El proceso abarca los dos canales comerciales y el soporte financiero de proyectos, sin modificar por su cuenta las condiciones pactadas con los clientes.</w:t>
      </w:r>
    </w:p>
    <w:p>
      <w:r>
        <w:rPr>
          <w:sz w:val="18"/>
        </w:rPr>
        <w:t>Referencia temática ISO 9001:2015: 4.4, 6.1, 7.1, 7.5, 8.2, 9.1.</w:t>
      </w:r>
    </w:p>
    <w:p>
      <w:pPr>
        <w:pStyle w:val="Heading1"/>
      </w:pPr>
      <w:r>
        <w:t>Alcance y resultado esperado</w:t>
      </w:r>
    </w:p>
    <w:p>
      <w:r>
        <w:t>Se controlan presupuesto, facturación, recaudo, cartera, conciliación y pagos a proveedores. El cierre anual distingue ingresos B2B de COP 21.600 millones e ingresos B2C de COP 14.400 millones, para un total de COP 36.000 millones en 2025. Estos totales son la referencia anual; los expedientes de muestra no equivalen a toda la contabilidad de la empresa.</w:t>
      </w:r>
    </w:p>
    <w:p>
      <w:pPr>
        <w:pStyle w:val="Heading1"/>
      </w:pPr>
      <w:r>
        <w:t>Entradas salidas e interfaces</w:t>
      </w:r>
    </w:p>
    <w:p>
      <w:r>
        <w:t>Ventas entrega pedidos y condiciones aceptadas; Consultoría y Montaje, hitos autorizados; Compras e Inventarios, orden y recepción; E-commerce, transacciones y devoluciones. Finanzas devuelve comprobantes, estado de cartera y alertas de diferencias. Una disputa técnica se remite a Calidad o al dueño del proyecto antes de descontar valores o cerrar la reclamación.</w:t>
      </w:r>
    </w:p>
    <w:p>
      <w:pPr>
        <w:pStyle w:val="Heading1"/>
      </w:pPr>
      <w:r>
        <w:t>Responsabilidades</w:t>
      </w:r>
    </w:p>
    <w:p>
      <w:r>
        <w:t>Mateo Salcedo revisa cierres, excepciones y programación de pagos. El analista prepara la operación y otra persona autorizada revisa beneficiario, soporte y valor. La Dirección resuelve compromisos fuera del presupuesto. Legal revisa cambios contractuales controvertidos; ningún colaborador puede aprobar el pago que él mismo creó sin una revisión independiente documentada.</w:t>
      </w:r>
    </w:p>
    <w:p>
      <w:pPr>
        <w:pStyle w:val="Heading1"/>
      </w:pPr>
      <w:r>
        <w:t>Secuencia de trabajo</w:t>
      </w:r>
    </w:p>
    <w:p>
      <w:pPr>
        <w:ind w:left="216" w:hanging="216"/>
      </w:pPr>
      <w:r>
        <w:t>1. Recibir el pedido o hito con identificador único, cliente, moneda, valor y condición de cobro. Devolver al emisor cualquier diferencia entre contrato y solicitud.</w:t>
      </w:r>
    </w:p>
    <w:p>
      <w:pPr>
        <w:ind w:left="216" w:hanging="216"/>
      </w:pPr>
      <w:r>
        <w:t>2. Verificar el soporte de entrega o del hito que habilita la factura. No facturar un servicio adicional únicamente porque figure en una conversación informal.</w:t>
      </w:r>
    </w:p>
    <w:p>
      <w:pPr>
        <w:ind w:left="216" w:hanging="216"/>
      </w:pPr>
      <w:r>
        <w:t>3. Preparar el documento de cobro y revisar datos, conceptos e impuestos que correspondan según la validación vigente del área. No trasladar porcentajes de ejemplos anteriores sin revisión.</w:t>
      </w:r>
    </w:p>
    <w:p>
      <w:pPr>
        <w:ind w:left="216" w:hanging="216"/>
      </w:pPr>
      <w:r>
        <w:t>4. Conciliar diariamente recaudos digitales con pedidos y registros del proveedor de pago. Mantener separadas operaciones confirmadas, pendientes, reversadas y sospechosas.</w:t>
      </w:r>
    </w:p>
    <w:p>
      <w:pPr>
        <w:ind w:left="216" w:hanging="216"/>
      </w:pPr>
      <w:r>
        <w:t>5. Revisar semanalmente cartera por antigüedad y disputa. Coordinar con Ventas el contacto al cliente y registrar el compromiso obtenido sin borrar la fecha inicial.</w:t>
      </w:r>
    </w:p>
    <w:p>
      <w:pPr>
        <w:ind w:left="216" w:hanging="216"/>
      </w:pPr>
      <w:r>
        <w:t>6. Programar pagos solo cuando orden, recepción y factura coincidan. Las diferencias de cantidad o calidad se mantienen abiertas con Compras hasta decisión documentada.</w:t>
      </w:r>
    </w:p>
    <w:p>
      <w:pPr>
        <w:ind w:left="216" w:hanging="216"/>
      </w:pPr>
      <w:r>
        <w:t>7. Cerrar mensualmente con conciliación revisada. Explicar ajustes y reabrir el periodo mediante autorización cuando cambie un dato material ya informado.</w:t>
      </w:r>
    </w:p>
    <w:p>
      <w:pPr>
        <w:pStyle w:val="Heading1"/>
      </w:pPr>
      <w:r>
        <w:t>Riesgos y controles</w:t>
      </w:r>
    </w:p>
    <w:p>
      <w:pPr>
        <w:pStyle w:val="ListBullet"/>
      </w:pPr>
      <w:r>
        <w:t>Pago duplicado: buscar coincidencias de proveedor, número de factura y valor antes de aprobar; un registro parecido se investiga aunque tenga diferente nombre de archivo.</w:t>
      </w:r>
    </w:p>
    <w:p>
      <w:pPr>
        <w:pStyle w:val="ListBullet"/>
      </w:pPr>
      <w:r>
        <w:t>Factura incorrecta o anticipada: comprobar la aceptación del cliente y el hito de liberación antes de emitirla.</w:t>
      </w:r>
    </w:p>
    <w:p>
      <w:pPr>
        <w:pStyle w:val="ListBullet"/>
      </w:pPr>
      <w:r>
        <w:t>Cobro aplicado al pedido equivocado: conciliar la referencia de transacción con cliente, importe y pedido; conservar las diferencias sin forzar el saldo.</w:t>
      </w:r>
    </w:p>
    <w:p>
      <w:pPr>
        <w:pStyle w:val="Heading1"/>
      </w:pPr>
      <w:r>
        <w:t>Indicadores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43"/>
        <w:gridCol w:w="4270"/>
        <w:gridCol w:w="3253"/>
      </w:tblGrid>
      <w:tr>
        <w:trPr>
          <w:tblHeader w:val="true"/>
          <w:cantSplit/>
        </w:trPr>
        <w:tc>
          <w:tcPr>
            <w:tcW w:type="dxa" w:w="264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Indicador y fórmula</w:t>
            </w:r>
          </w:p>
        </w:tc>
        <w:tc>
          <w:tcPr>
            <w:tcW w:type="dxa" w:w="427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Meta</w:t>
            </w:r>
          </w:p>
        </w:tc>
        <w:tc>
          <w:tcPr>
            <w:tcW w:type="dxa" w:w="325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Frecuencia y dueño</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Facturas correctas al primer envío = facturas sin corrección / emitidas × 100</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98 % o más</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Mensual | Mateo Salcedo</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Conciliaciones oportunas = conciliaciones aprobadas en plazo / programadas × 100</w:t>
            </w:r>
          </w:p>
        </w:tc>
        <w:tc>
          <w:tcPr>
            <w:tcW w:type="dxa" w:w="4270"/>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100 %</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Mensual | Mateo Salcedo</w:t>
            </w:r>
          </w:p>
        </w:tc>
      </w:tr>
    </w:tbl>
    <w:p>
      <w:pPr>
        <w:spacing w:after="20" w:before="0" w:line="240" w:lineRule="auto"/>
      </w:pPr>
      <w:r>
        <w:rPr>
          <w:sz w:val="4"/>
        </w:rPr>
      </w:r>
    </w:p>
    <w:p>
      <w:pPr>
        <w:pStyle w:val="Heading1"/>
      </w:pPr>
      <w:r>
        <w:t>Recursos y evidencia</w:t>
      </w:r>
    </w:p>
    <w:p>
      <w:r>
        <w:t>Se emplean el sistema contable, el registro de pedidos y los soportes de recepción. CC-RG-01 conserva la referencia comercial del proyecto de muestra y CC-RG-02 sus compras y recepciones. Las facturas completas y las conciliaciones de toda la empresa no forman parte de esta muestra. Se conserva la trazabilidad de quien prepara, revisa y autoriza cada operación.</w:t>
      </w:r>
    </w:p>
    <w:p>
      <w:pPr>
        <w:pStyle w:val="Heading1"/>
      </w:pPr>
      <w:r>
        <w:t>Cierre y conservación</w:t>
      </w:r>
    </w:p>
    <w:p>
      <w:r>
        <w:t>Un pago termina cuando existe confirmación registrada y conciliación; una cuenta discutida no se marca pagada. Los permisos de consulta se coordinan con Tecnología. La conservación se aplica conforme al listado maestro y a las instrucciones de Legal; una revisión pendiente impide eliminar los soportes relacionados.</w:t>
      </w:r>
    </w:p>
    <w:p>
      <w:pPr>
        <w:pStyle w:val="Heading1"/>
      </w:pPr>
      <w:r>
        <w:t>Documentos relacionados</w:t>
      </w:r>
    </w:p>
    <w:p>
      <w:r>
        <w:t>CC-CP-01 | CC-CP-06 | CC-CP-08 | CC-CP-09 | CC-CP-14 | CC-CP-17 | CC-RG-01 | CC-RG-02 | CC-LM-01</w:t>
      </w:r>
    </w:p>
    <w:p>
      <w:pPr>
        <w:pStyle w:val="Heading1"/>
      </w:pPr>
      <w:r>
        <w:t>Historial de cambios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43"/>
        <w:gridCol w:w="4270"/>
        <w:gridCol w:w="3253"/>
      </w:tblGrid>
      <w:tr>
        <w:trPr>
          <w:tblHeader w:val="true"/>
          <w:cantSplit/>
        </w:trPr>
        <w:tc>
          <w:tcPr>
            <w:tcW w:type="dxa" w:w="264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Revisión</w:t>
            </w:r>
          </w:p>
        </w:tc>
        <w:tc>
          <w:tcPr>
            <w:tcW w:type="dxa" w:w="427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Fecha</w:t>
            </w:r>
          </w:p>
        </w:tc>
        <w:tc>
          <w:tcPr>
            <w:tcW w:type="dxa" w:w="325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Cambio registrado</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03</w:t>
            </w:r>
          </w:p>
        </w:tc>
        <w:tc>
          <w:tcPr>
            <w:tcW w:type="dxa" w:w="4270"/>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2025-07-14</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Se distingue el cierre contable de las muestras de proyectos y se refuerza la conciliación de pagos digitales.</w:t>
            </w:r>
          </w:p>
        </w:tc>
      </w:tr>
    </w:tbl>
    <w:p>
      <w:pPr>
        <w:spacing w:after="20" w:before="0" w:line="240" w:lineRule="auto"/>
      </w:pPr>
      <w:r>
        <w:rPr>
          <w:sz w:val="4"/>
        </w:rPr>
      </w:r>
    </w:p>
    <w:p>
      <w:r>
        <w:br w:type="page"/>
      </w:r>
    </w:p>
    <w:p>
      <w:pPr>
        <w:pStyle w:val="Title"/>
      </w:pPr>
      <w:r>
        <w:t>Gestión de personas competencia y conocimiento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0"/>
        <w:gridCol w:w="2847"/>
        <w:gridCol w:w="2440"/>
        <w:gridCol w:w="2440"/>
      </w:tblGrid>
      <w:tr>
        <w:trPr>
          <w:tblHeader w:val="true"/>
          <w:cantSplit/>
        </w:trPr>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Código</w:t>
            </w:r>
          </w:p>
        </w:tc>
        <w:tc>
          <w:tcPr>
            <w:tcW w:type="dxa" w:w="2847"/>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Revisión</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Emisión</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Estado</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CC-CP-03</w:t>
            </w:r>
          </w:p>
        </w:tc>
        <w:tc>
          <w:tcPr>
            <w:tcW w:type="dxa" w:w="284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05</w:t>
            </w:r>
          </w:p>
        </w:tc>
        <w:tc>
          <w:tcPr>
            <w:tcW w:type="dxa" w:w="2440"/>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2025-09-15</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Vigente</w:t>
            </w:r>
          </w:p>
        </w:tc>
      </w:tr>
    </w:tbl>
    <w:p>
      <w:pPr>
        <w:spacing w:after="20" w:before="0" w:line="240" w:lineRule="auto"/>
      </w:pPr>
      <w:r>
        <w:rPr>
          <w:sz w:val="4"/>
        </w:rPr>
      </w:r>
    </w:p>
    <w:p>
      <w:pPr>
        <w:spacing w:after="60"/>
      </w:pPr>
      <w:r>
        <w:rPr>
          <w:b/>
        </w:rPr>
        <w:t xml:space="preserve">Tipo y área: </w:t>
      </w:r>
      <w:r>
        <w:t>Caracterización de proceso | Talento humano</w:t>
      </w:r>
    </w:p>
    <w:p>
      <w:pPr>
        <w:spacing w:after="60"/>
      </w:pPr>
      <w:r>
        <w:rPr>
          <w:b/>
        </w:rPr>
        <w:t xml:space="preserve">Responsable: </w:t>
      </w:r>
      <w:r>
        <w:t>Clara Ramírez EMP-020 | Encargada operativa de Talento humano</w:t>
      </w:r>
    </w:p>
    <w:p>
      <w:pPr>
        <w:spacing w:after="60"/>
      </w:pPr>
      <w:r>
        <w:rPr>
          <w:b/>
        </w:rPr>
        <w:t xml:space="preserve">Aprobación interna: </w:t>
      </w:r>
      <w:r>
        <w:t>Valentina Ríos</w:t>
      </w:r>
    </w:p>
    <w:p>
      <w:pPr>
        <w:spacing w:before="100"/>
      </w:pPr>
      <w:r>
        <w:t>Talento humano asegura que las tareas que afectan la calidad sean realizadas por personas competentes y con responsabilidades claras. Se administra una planta de referencia de 200 empleados en 17 departamentos, con formación proporcional a los riesgos de cada puesto.</w:t>
      </w:r>
    </w:p>
    <w:p>
      <w:r>
        <w:rPr>
          <w:sz w:val="18"/>
        </w:rPr>
        <w:t>Referencia temática ISO 9001:2015: 5.3, 7.1.2, 7.1.6, 7.2, 7.3, 7.4, 7.5.</w:t>
      </w:r>
    </w:p>
    <w:p>
      <w:pPr>
        <w:pStyle w:val="Heading1"/>
      </w:pPr>
      <w:r>
        <w:t>Alcance y asignación vigente</w:t>
      </w:r>
    </w:p>
    <w:p>
      <w:r>
        <w:t>El proceso cubre vinculación, inducción, competencia, capacitación, suplencias y retiro. Camila Duarte EMP-019 conserva la titularidad histórica del área y aparece inactiva en el registro base. Clara Ramírez EMP-020 atiende la operación por la delegación interna DG-2025-017; esta suplencia no altera el cargo ni el estado de los registros canónicos. La Dirección mantiene la aprobación de decisiones fuera de la delegación.</w:t>
      </w:r>
    </w:p>
    <w:p>
      <w:pPr>
        <w:pStyle w:val="Heading1"/>
      </w:pPr>
      <w:r>
        <w:t>Entradas resultados e interfaces</w:t>
      </w:r>
    </w:p>
    <w:p>
      <w:r>
        <w:t>Cada líder comunica la necesidad del cargo, la actividad crítica y la evidencia de competencia requerida. Calidad aporta fallas relacionadas con capacitación y Tecnología confirma los accesos necesarios. Se entregan personas habilitadas, planes de formación y evaluaciones de eficacia. Cuando cambia un equipo o un método, el responsable del proceso solicita actualización antes del trabajo autónomo.</w:t>
      </w:r>
    </w:p>
    <w:p>
      <w:pPr>
        <w:pStyle w:val="Heading1"/>
      </w:pPr>
      <w:r>
        <w:t>Responsabilidades</w:t>
      </w:r>
    </w:p>
    <w:p>
      <w:r>
        <w:t>Clara organiza expedientes y agenda formación. El líder de cada departamento define y evalúa la aptitud técnica, porque asistir a una charla no demuestra competencia. Calidad verifica que el criterio de aprobación sea entendible. Tecnología activa o retira permisos solo con una solicitud autorizada; el estado de una persona y sus privilegios se revisan conjuntamente.</w:t>
      </w:r>
    </w:p>
    <w:p>
      <w:pPr>
        <w:pStyle w:val="Heading1"/>
      </w:pPr>
      <w:r>
        <w:t>Actividades del proceso</w:t>
      </w:r>
    </w:p>
    <w:p>
      <w:pPr>
        <w:ind w:left="216" w:hanging="216"/>
      </w:pPr>
      <w:r>
        <w:t>1. Recibir la solicitud del líder con tareas, experiencia y riesgos. Identificar cuáles actividades requieren acompañamiento o validación práctica previa.</w:t>
      </w:r>
    </w:p>
    <w:p>
      <w:pPr>
        <w:ind w:left="216" w:hanging="216"/>
      </w:pPr>
      <w:r>
        <w:t>2. Revisar la evidencia de ingreso o traslado y registrar las brechas. La experiencia declarada sin soporte queda pendiente, no aprobada por defecto.</w:t>
      </w:r>
    </w:p>
    <w:p>
      <w:pPr>
        <w:ind w:left="216" w:hanging="216"/>
      </w:pPr>
      <w:r>
        <w:t>3. Realizar inducción en política, comunicación de fallas, documentos vigentes y tratamiento de información. Confirmar comprensión con un caso de trabajo del propio cargo.</w:t>
      </w:r>
    </w:p>
    <w:p>
      <w:pPr>
        <w:ind w:left="216" w:hanging="216"/>
      </w:pPr>
      <w:r>
        <w:t>4. Planificar formación según brecha, prioridad, instructor y fecha. Ajustar el método al nivel digital de la persona; usar demostración acompañada cuando sea necesario.</w:t>
      </w:r>
    </w:p>
    <w:p>
      <w:pPr>
        <w:ind w:left="216" w:hanging="216"/>
      </w:pPr>
      <w:r>
        <w:t>5. Evaluar la aplicación en el puesto. El líder observa una ejecución completa y registra resultado, errores y restricciones antes de habilitar trabajo independiente.</w:t>
      </w:r>
    </w:p>
    <w:p>
      <w:pPr>
        <w:ind w:left="216" w:hanging="216"/>
      </w:pPr>
      <w:r>
        <w:t>6. Revisar a los treinta días si disminuyó el error que motivó la formación. Si no hay mejora, analizar también carga, herramientas y claridad del procedimiento.</w:t>
      </w:r>
    </w:p>
    <w:p>
      <w:pPr>
        <w:ind w:left="216" w:hanging="216"/>
      </w:pPr>
      <w:r>
        <w:t>7. Transferir conocimiento en una suplencia o retiro: tareas abiertas, ubicación de documentos, responsables y accesos que deben cerrarse. Registrar la devolución de recursos.</w:t>
      </w:r>
    </w:p>
    <w:p>
      <w:pPr>
        <w:pStyle w:val="Heading1"/>
      </w:pPr>
      <w:r>
        <w:t>Riesgos y controles</w:t>
      </w:r>
    </w:p>
    <w:p>
      <w:pPr>
        <w:pStyle w:val="ListBullet"/>
      </w:pPr>
      <w:r>
        <w:t>Persona no habilitada en montaje o servicio: el líder confirma competencia antes de asignar el trabajo y conserva el resultado práctico.</w:t>
      </w:r>
    </w:p>
    <w:p>
      <w:pPr>
        <w:pStyle w:val="ListBullet"/>
      </w:pPr>
      <w:r>
        <w:t>Registros de dos personas con igual nombre: usar siempre EMP y departamento; no resolver una coincidencia por nombre únicamente.</w:t>
      </w:r>
    </w:p>
    <w:p>
      <w:pPr>
        <w:pStyle w:val="ListBullet"/>
      </w:pPr>
      <w:r>
        <w:t>Conocimiento concentrado en una persona: mantener guías del trabajo y un reemplazo formado para las actividades críticas.</w:t>
      </w:r>
    </w:p>
    <w:p>
      <w:pPr>
        <w:pStyle w:val="Heading1"/>
      </w:pPr>
      <w:r>
        <w:t>Indicadores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43"/>
        <w:gridCol w:w="4270"/>
        <w:gridCol w:w="3253"/>
      </w:tblGrid>
      <w:tr>
        <w:trPr>
          <w:tblHeader w:val="true"/>
          <w:cantSplit/>
        </w:trPr>
        <w:tc>
          <w:tcPr>
            <w:tcW w:type="dxa" w:w="264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Indicador y fórmula</w:t>
            </w:r>
          </w:p>
        </w:tc>
        <w:tc>
          <w:tcPr>
            <w:tcW w:type="dxa" w:w="427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Meta</w:t>
            </w:r>
          </w:p>
        </w:tc>
        <w:tc>
          <w:tcPr>
            <w:tcW w:type="dxa" w:w="325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Frecuencia y responsable</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Competencia demostrada = personas aprobadas para su tarea crítica / personas que ejecutan esa tarea × 100</w:t>
            </w:r>
          </w:p>
        </w:tc>
        <w:tc>
          <w:tcPr>
            <w:tcW w:type="dxa" w:w="4270"/>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100 %</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Mensual | Líderes y Clara</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Formación eficaz = acciones con mejora comprobada / acciones evaluadas × 100</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90 % o más</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Trimestral | Clara Ramírez</w:t>
            </w:r>
          </w:p>
        </w:tc>
      </w:tr>
    </w:tbl>
    <w:p>
      <w:pPr>
        <w:spacing w:after="20" w:before="0" w:line="240" w:lineRule="auto"/>
      </w:pPr>
      <w:r>
        <w:rPr>
          <w:sz w:val="4"/>
        </w:rPr>
      </w:r>
    </w:p>
    <w:p>
      <w:pPr>
        <w:pStyle w:val="Heading1"/>
      </w:pPr>
      <w:r>
        <w:t>Recursos y registros</w:t>
      </w:r>
    </w:p>
    <w:p>
      <w:r>
        <w:t>Se utilizan perfiles de cargo, equipos disponibles, instructores internos y guías del repositorio. CC-PR-05 define el método de formación; CC-RG-05 conserva ejemplos de evaluación y seguimiento. CC-AN-01 permite relacionar personas, departamentos y responsables. Los expedientes completos de personal quedan fuera del paquete y su consulta se limita al personal autorizado.</w:t>
      </w:r>
    </w:p>
    <w:p>
      <w:pPr>
        <w:pStyle w:val="Heading1"/>
      </w:pPr>
      <w:r>
        <w:t>Cierre y comunicación</w:t>
      </w:r>
    </w:p>
    <w:p>
      <w:r>
        <w:t>Una formación se cierra cuando consta evaluación de eficacia o una decisión explícita de seguimiento. La lista de asistentes por sí sola mantiene la actividad pendiente. Las restricciones de una persona se comunican al líder que asigna tareas; los reportes generales de gestión usan resultados agregados y no detalles innecesarios del expediente.</w:t>
      </w:r>
    </w:p>
    <w:p>
      <w:pPr>
        <w:pStyle w:val="Heading1"/>
      </w:pPr>
      <w:r>
        <w:t>Documentos relacionados</w:t>
      </w:r>
    </w:p>
    <w:p>
      <w:r>
        <w:t>CC-CP-01 | CC-CP-14 | CC-CP-16 | CC-PR-05 | CC-RG-05 | CC-AN-01</w:t>
      </w:r>
    </w:p>
    <w:p>
      <w:pPr>
        <w:pStyle w:val="Heading1"/>
      </w:pPr>
      <w:r>
        <w:t>Historial de cambios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43"/>
        <w:gridCol w:w="4270"/>
        <w:gridCol w:w="3253"/>
      </w:tblGrid>
      <w:tr>
        <w:trPr>
          <w:tblHeader w:val="true"/>
          <w:cantSplit/>
        </w:trPr>
        <w:tc>
          <w:tcPr>
            <w:tcW w:type="dxa" w:w="264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Revisión</w:t>
            </w:r>
          </w:p>
        </w:tc>
        <w:tc>
          <w:tcPr>
            <w:tcW w:type="dxa" w:w="427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Fecha</w:t>
            </w:r>
          </w:p>
        </w:tc>
        <w:tc>
          <w:tcPr>
            <w:tcW w:type="dxa" w:w="325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Cambio registrado</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05</w:t>
            </w:r>
          </w:p>
        </w:tc>
        <w:tc>
          <w:tcPr>
            <w:tcW w:type="dxa" w:w="4270"/>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2025-09-15</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Se registra la suplencia operativa de Talento humano y la identificación por EMP ante nombres coincidentes.</w:t>
            </w:r>
          </w:p>
        </w:tc>
      </w:tr>
    </w:tbl>
    <w:p>
      <w:pPr>
        <w:spacing w:after="20" w:before="0" w:line="240" w:lineRule="auto"/>
      </w:pPr>
      <w:r>
        <w:rPr>
          <w:sz w:val="4"/>
        </w:rPr>
      </w:r>
    </w:p>
    <w:p>
      <w:r>
        <w:br w:type="page"/>
      </w:r>
    </w:p>
    <w:p>
      <w:pPr>
        <w:pStyle w:val="Title"/>
      </w:pPr>
      <w:r>
        <w:t>Consultoría para proyectos de cafeterías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0"/>
        <w:gridCol w:w="2847"/>
        <w:gridCol w:w="2440"/>
        <w:gridCol w:w="2440"/>
      </w:tblGrid>
      <w:tr>
        <w:trPr>
          <w:tblHeader w:val="true"/>
          <w:cantSplit/>
        </w:trPr>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Código</w:t>
            </w:r>
          </w:p>
        </w:tc>
        <w:tc>
          <w:tcPr>
            <w:tcW w:type="dxa" w:w="2847"/>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Revisión</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Emisión</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Estado</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CC-CP-04</w:t>
            </w:r>
          </w:p>
        </w:tc>
        <w:tc>
          <w:tcPr>
            <w:tcW w:type="dxa" w:w="284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03</w:t>
            </w:r>
          </w:p>
        </w:tc>
        <w:tc>
          <w:tcPr>
            <w:tcW w:type="dxa" w:w="2440"/>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2025-05-12</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Vigente</w:t>
            </w:r>
          </w:p>
        </w:tc>
      </w:tr>
    </w:tbl>
    <w:p>
      <w:pPr>
        <w:spacing w:after="20" w:before="0" w:line="240" w:lineRule="auto"/>
      </w:pPr>
      <w:r>
        <w:rPr>
          <w:sz w:val="4"/>
        </w:rPr>
      </w:r>
    </w:p>
    <w:p>
      <w:pPr>
        <w:spacing w:after="60"/>
      </w:pPr>
      <w:r>
        <w:rPr>
          <w:b/>
        </w:rPr>
        <w:t xml:space="preserve">Tipo y área: </w:t>
      </w:r>
      <w:r>
        <w:t>Caracterización de proceso | Consultoría B2B</w:t>
      </w:r>
    </w:p>
    <w:p>
      <w:pPr>
        <w:spacing w:after="60"/>
      </w:pPr>
      <w:r>
        <w:rPr>
          <w:b/>
        </w:rPr>
        <w:t xml:space="preserve">Responsable: </w:t>
      </w:r>
      <w:r>
        <w:t>Andrés Molina</w:t>
      </w:r>
    </w:p>
    <w:p>
      <w:pPr>
        <w:spacing w:after="60"/>
      </w:pPr>
      <w:r>
        <w:rPr>
          <w:b/>
        </w:rPr>
        <w:t xml:space="preserve">Aprobación interna: </w:t>
      </w:r>
      <w:r>
        <w:t>Valentina Ríos</w:t>
      </w:r>
    </w:p>
    <w:p>
      <w:pPr>
        <w:spacing w:before="100"/>
      </w:pPr>
      <w:r>
        <w:t>La consultoría convierte una necesidad comercial en un proyecto viable y verificable. El equipo deja por escrito las condiciones del local, los supuestos del negocio y los entregables que el cliente acepta antes de pasar a diseño y ejecución.</w:t>
      </w:r>
    </w:p>
    <w:p>
      <w:r>
        <w:rPr>
          <w:sz w:val="18"/>
        </w:rPr>
        <w:t>Referencia temática ISO 9001:2015: 4.4, 8.1, 8.2, 8.3.</w:t>
      </w:r>
    </w:p>
    <w:p>
      <w:pPr>
        <w:pStyle w:val="Heading1"/>
      </w:pPr>
      <w:r>
        <w:t>Propósito y alcance</w:t>
      </w:r>
    </w:p>
    <w:p>
      <w:r>
        <w:t>Cubre desde la recepción de una oportunidad calificada por Ventas B2B hasta el cierre técnico del diagnóstico y el seguimiento de los hitos del proyecto. Incluye factibilidad de cafeterías, capacidad de atención, requerimientos de equipo, coordinación del diseño y preparación de la formación del cliente. No autoriza al consultor a ampliar el contrato ni a prometer resultados de ventas. Las estimaciones se presentan con supuestos y sensibilidad, no como ingresos garantizados.</w:t>
      </w:r>
    </w:p>
    <w:p>
      <w:pPr>
        <w:pStyle w:val="Heading1"/>
      </w:pPr>
      <w:r>
        <w:t>Entradas resultados e interacciones</w:t>
      </w:r>
    </w:p>
    <w:p>
      <w:r>
        <w:t>Entradas: solicitud del cliente, cotización aceptada, levantamiento preliminar, presupuesto disponible y restricciones del inmueble. Ventas B2B confirma quién puede aprobar cambios; Legal revisa las condiciones contractuales que afecten el alcance.</w:t>
      </w:r>
    </w:p>
    <w:p>
      <w:r>
        <w:t>Resultados: diagnóstico aprobado, requisitos para Diseño de espacios, lista de equipos y plan de hitos. Compras recibe especificaciones verificadas y Montaje recibe restricciones de acceso y aceptación. El expediente PRJ-005 La Estación se conserva en CC-RG-01.</w:t>
      </w:r>
    </w:p>
    <w:p>
      <w:pPr>
        <w:pStyle w:val="Heading1"/>
      </w:pPr>
      <w:r>
        <w:t>Responsables y autoridad</w:t>
      </w:r>
    </w:p>
    <w:p>
      <w:r>
        <w:t>Andrés Molina asigna consultor y revisa la suficiencia del diagnóstico. El consultor responsable mantiene la trazabilidad de decisiones y pendientes. Isabel Restrepo decide la solución de diseño dentro del alcance aprobado. Sebastián Vélez formaliza las variaciones comerciales. El cliente valida los supuestos que dependen de su operación; la falta de respuesta no equivale a aprobación.</w:t>
      </w:r>
    </w:p>
    <w:p>
      <w:pPr>
        <w:pStyle w:val="Heading1"/>
      </w:pPr>
      <w:r>
        <w:t>Actividades y controles</w:t>
      </w:r>
    </w:p>
    <w:p>
      <w:pPr>
        <w:ind w:left="216" w:hanging="216"/>
      </w:pPr>
      <w:r>
        <w:t>1. Abrir el proyecto con código único y comprobar contrato, local y contacto decisor. Registrar los datos que falten y su fecha de resolución en el expediente.</w:t>
      </w:r>
    </w:p>
    <w:p>
      <w:pPr>
        <w:ind w:left="216" w:hanging="216"/>
      </w:pPr>
      <w:r>
        <w:t>2. Visitar el local o revisar evidencia suficiente. Confirmar dimensiones, servicios, circulación, horarios y restricciones; separar lo observado de lo declarado por el cliente.</w:t>
      </w:r>
    </w:p>
    <w:p>
      <w:pPr>
        <w:ind w:left="216" w:hanging="216"/>
      </w:pPr>
      <w:r>
        <w:t>3. Estimar demanda y capacidad con escenarios conservador, esperado y alto. Documentar fuente de los supuestos y efectos de una variación de afluencia o costos.</w:t>
      </w:r>
    </w:p>
    <w:p>
      <w:pPr>
        <w:ind w:left="216" w:hanging="216"/>
      </w:pPr>
      <w:r>
        <w:t>4. Definir requisitos medibles de capacidad, equipos y experiencia del usuario. Entregar a Diseño una lista de requisitos numerados y resolver contradicciones antes de aprobarla.</w:t>
      </w:r>
    </w:p>
    <w:p>
      <w:pPr>
        <w:ind w:left="216" w:hanging="216"/>
      </w:pPr>
      <w:r>
        <w:t>5. Revisar la propuesta con Ventas, Diseño y Compras. Contrastar disponibilidad, plazo y presupuesto; identificar por separado partidas opcionales y dependencias del cliente.</w:t>
      </w:r>
    </w:p>
    <w:p>
      <w:pPr>
        <w:ind w:left="216" w:hanging="216"/>
      </w:pPr>
      <w:r>
        <w:t>6. Obtener aceptación del diagnóstico y del plan de hitos. Si cambian requisitos aprobados, tramitar CC-FO-01 y conservar la línea base anterior sin sobrescribirla.</w:t>
      </w:r>
    </w:p>
    <w:p>
      <w:pPr>
        <w:ind w:left="216" w:hanging="216"/>
      </w:pPr>
      <w:r>
        <w:t>7. Acompañar los hitos de diseño, suministro y montaje. Escalar desviaciones de alcance a Ventas B2B y desviaciones técnicas al dueño del proceso afectado.</w:t>
      </w:r>
    </w:p>
    <w:p>
      <w:pPr>
        <w:ind w:left="216" w:hanging="216"/>
      </w:pPr>
      <w:r>
        <w:t>8. Cerrar el diagnóstico y registrar lecciones aplicables. Antes del cierre del proyecto, confirmar que Montaje y Servicio al cliente conocen las obligaciones pendientes.</w:t>
      </w:r>
    </w:p>
    <w:p>
      <w:pPr>
        <w:pStyle w:val="Heading1"/>
      </w:pPr>
      <w:r>
        <w:t>Riesgos y respuesta operativa</w:t>
      </w:r>
    </w:p>
    <w:p>
      <w:pPr>
        <w:pStyle w:val="ListBullet"/>
      </w:pPr>
      <w:r>
        <w:t>Información incompleta del local: dejar el dato como pendiente, asignar verificación y detener únicamente la decisión dependiente. No dimensionar un equipo sobre una capacidad eléctrica sin verificar.</w:t>
      </w:r>
    </w:p>
    <w:p>
      <w:pPr>
        <w:pStyle w:val="ListBullet"/>
      </w:pPr>
      <w:r>
        <w:t>Cambio de expectativa durante la ejecución: comparar contra requisitos aprobados, evaluar plazo y costo y solicitar decisión mediante CC-FO-01. Las conversaciones informales se incorporan al expediente.</w:t>
      </w:r>
    </w:p>
    <w:p>
      <w:pPr>
        <w:pStyle w:val="Heading1"/>
      </w:pPr>
      <w:r>
        <w:t>Seguimiento del proceso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0"/>
        <w:gridCol w:w="2847"/>
        <w:gridCol w:w="2440"/>
        <w:gridCol w:w="2440"/>
      </w:tblGrid>
      <w:tr>
        <w:trPr>
          <w:tblHeader w:val="true"/>
          <w:cantSplit/>
        </w:trPr>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Indicador y cálculo</w:t>
            </w:r>
          </w:p>
        </w:tc>
        <w:tc>
          <w:tcPr>
            <w:tcW w:type="dxa" w:w="2847"/>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Meta interna</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Frecuencia</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Responsable</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Diagnósticos entregados a tiempo / diagnósticos vencidos del mes × 100</w:t>
            </w:r>
          </w:p>
        </w:tc>
        <w:tc>
          <w:tcPr>
            <w:tcW w:type="dxa" w:w="284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≥95%</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Mensual</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Andrés Molina</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Proyectos con requisitos trazables / proyectos revisados × 100</w:t>
            </w:r>
          </w:p>
        </w:tc>
        <w:tc>
          <w:tcPr>
            <w:tcW w:type="dxa" w:w="284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100%</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Por hito</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Consultor asignado</w:t>
            </w:r>
          </w:p>
        </w:tc>
      </w:tr>
    </w:tbl>
    <w:p>
      <w:pPr>
        <w:spacing w:after="20" w:before="0" w:line="240" w:lineRule="auto"/>
      </w:pPr>
      <w:r>
        <w:rPr>
          <w:sz w:val="4"/>
        </w:rPr>
      </w:r>
    </w:p>
    <w:p>
      <w:pPr>
        <w:pStyle w:val="Heading1"/>
      </w:pPr>
      <w:r>
        <w:t>Recursos y registros</w:t>
      </w:r>
    </w:p>
    <w:p>
      <w:r>
        <w:t>Se requieren consultores competentes, herramientas de levantamiento y acceso controlado al expediente. Se conservan levantamientos, supuestos, aceptación del diagnóstico y minutas de decisiones. CC-RG-01 contiene la muestra diligenciada; los cambios usan CC-FO-01. La retención se controla mediante CC-PR-01 y el listado maestro CC-LM-01.</w:t>
      </w:r>
    </w:p>
    <w:p>
      <w:pPr>
        <w:pStyle w:val="Heading1"/>
      </w:pPr>
      <w:r>
        <w:t>Entrega y revisión del proceso</w:t>
      </w:r>
    </w:p>
    <w:p>
      <w:r>
        <w:t>La entrega a Diseño exige requisitos completos, versión identificada y responsable de consultas. Una excepción debe identificar quién la acepta y qué decisión sigue pendiente. Andrés revisa mensualmente retrasos, reprocesos y lecciones con Calidad; las causas repetidas pasan a CC-PR-04. El cierre de consultoría no sustituye la liberación final del servicio.</w:t>
      </w:r>
    </w:p>
    <w:p>
      <w:pPr>
        <w:pStyle w:val="Heading1"/>
      </w:pPr>
      <w:r>
        <w:t>Documentos relacionados</w:t>
      </w:r>
    </w:p>
    <w:p>
      <w:r>
        <w:t>CC-CP-06 | CC-CP-15 | CC-CP-09 | CC-CP-12 | CC-RG-01 | CC-FO-01 | CC-PR-01 | CC-PR-04 | CC-LM-01</w:t>
      </w:r>
    </w:p>
    <w:p>
      <w:pPr>
        <w:pStyle w:val="Heading1"/>
      </w:pPr>
      <w:r>
        <w:t>Historial de cambios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43"/>
        <w:gridCol w:w="4270"/>
        <w:gridCol w:w="3253"/>
      </w:tblGrid>
      <w:tr>
        <w:trPr>
          <w:tblHeader w:val="true"/>
          <w:cantSplit/>
        </w:trPr>
        <w:tc>
          <w:tcPr>
            <w:tcW w:type="dxa" w:w="264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Revisión</w:t>
            </w:r>
          </w:p>
        </w:tc>
        <w:tc>
          <w:tcPr>
            <w:tcW w:type="dxa" w:w="427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Fecha</w:t>
            </w:r>
          </w:p>
        </w:tc>
        <w:tc>
          <w:tcPr>
            <w:tcW w:type="dxa" w:w="325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Cambio registrado</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03</w:t>
            </w:r>
          </w:p>
        </w:tc>
        <w:tc>
          <w:tcPr>
            <w:tcW w:type="dxa" w:w="4270"/>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2025-05-12</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Se separan los supuestos de factibilidad de los requisitos técnicos aprobados.</w:t>
            </w:r>
          </w:p>
        </w:tc>
      </w:tr>
    </w:tbl>
    <w:p>
      <w:pPr>
        <w:spacing w:after="20" w:before="0" w:line="240" w:lineRule="auto"/>
      </w:pPr>
      <w:r>
        <w:rPr>
          <w:sz w:val="4"/>
        </w:rPr>
      </w:r>
    </w:p>
    <w:p>
      <w:r>
        <w:br w:type="page"/>
      </w:r>
    </w:p>
    <w:p>
      <w:pPr>
        <w:pStyle w:val="Title"/>
      </w:pPr>
      <w:r>
        <w:t>Venta en tiendas y atención comercial B2C</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0"/>
        <w:gridCol w:w="2847"/>
        <w:gridCol w:w="2440"/>
        <w:gridCol w:w="2440"/>
      </w:tblGrid>
      <w:tr>
        <w:trPr>
          <w:tblHeader w:val="true"/>
          <w:cantSplit/>
        </w:trPr>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Código</w:t>
            </w:r>
          </w:p>
        </w:tc>
        <w:tc>
          <w:tcPr>
            <w:tcW w:type="dxa" w:w="2847"/>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Revisión</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Emisión</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Estado</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CC-CP-05</w:t>
            </w:r>
          </w:p>
        </w:tc>
        <w:tc>
          <w:tcPr>
            <w:tcW w:type="dxa" w:w="284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04</w:t>
            </w:r>
          </w:p>
        </w:tc>
        <w:tc>
          <w:tcPr>
            <w:tcW w:type="dxa" w:w="2440"/>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2025-06-03</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Vigente</w:t>
            </w:r>
          </w:p>
        </w:tc>
      </w:tr>
    </w:tbl>
    <w:p>
      <w:pPr>
        <w:spacing w:after="20" w:before="0" w:line="240" w:lineRule="auto"/>
      </w:pPr>
      <w:r>
        <w:rPr>
          <w:sz w:val="4"/>
        </w:rPr>
      </w:r>
    </w:p>
    <w:p>
      <w:pPr>
        <w:spacing w:after="60"/>
      </w:pPr>
      <w:r>
        <w:rPr>
          <w:b/>
        </w:rPr>
        <w:t xml:space="preserve">Tipo y área: </w:t>
      </w:r>
      <w:r>
        <w:t>Caracterización de proceso | Ventas B2C</w:t>
      </w:r>
    </w:p>
    <w:p>
      <w:pPr>
        <w:spacing w:after="60"/>
      </w:pPr>
      <w:r>
        <w:rPr>
          <w:b/>
        </w:rPr>
        <w:t xml:space="preserve">Responsable: </w:t>
      </w:r>
      <w:r>
        <w:t>Juliana Franco</w:t>
      </w:r>
    </w:p>
    <w:p>
      <w:pPr>
        <w:spacing w:after="60"/>
      </w:pPr>
      <w:r>
        <w:rPr>
          <w:b/>
        </w:rPr>
        <w:t xml:space="preserve">Aprobación interna: </w:t>
      </w:r>
      <w:r>
        <w:t>Valentina Ríos</w:t>
      </w:r>
    </w:p>
    <w:p>
      <w:pPr>
        <w:spacing w:before="100"/>
      </w:pPr>
      <w:r>
        <w:t>La venta presencial debe entregar al comprador un producto adecuado y una promesa verificable. Este proceso coordina asesoría, disponibilidad, cobro, entrega y orientación inicial en los showrooms de Bogotá, Medellín y Cali.</w:t>
      </w:r>
    </w:p>
    <w:p>
      <w:r>
        <w:rPr>
          <w:sz w:val="18"/>
        </w:rPr>
        <w:t>Referencia temática ISO 9001:2015: 4.4, 8.2, 8.5, 8.6.</w:t>
      </w:r>
    </w:p>
    <w:p>
      <w:pPr>
        <w:pStyle w:val="Heading1"/>
      </w:pPr>
      <w:r>
        <w:t>Propósito y alcance</w:t>
      </w:r>
    </w:p>
    <w:p>
      <w:r>
        <w:t>Aplica a máquinas de espresso, molinos, mobiliario, POS, refrigeración, café e insumos ofrecidos al consumidor. Inicia con la necesidad del visitante y termina con la entrega documentada o el traspaso de una reclamación. Los pedidos originados en la tienda electrónica se coordinan con E-commerce cuando hay recogida o devolución en showroom. Ningún vendedor puede modificar condiciones de garantía o inventar existencias para cerrar una venta.</w:t>
      </w:r>
    </w:p>
    <w:p>
      <w:pPr>
        <w:pStyle w:val="Heading1"/>
      </w:pPr>
      <w:r>
        <w:t>Entradas resultados e interacciones</w:t>
      </w:r>
    </w:p>
    <w:p>
      <w:r>
        <w:t>Recibimos catálogo vigente, precios aprobados, disponibilidad por ubicación y condiciones comerciales de Finanzas, Inventarios y Marketing. El comprador aporta uso previsto, presupuesto y datos mínimos para tramitar el pedido.</w:t>
      </w:r>
    </w:p>
    <w:p>
      <w:r>
        <w:t>Entregamos una orden verificable, comprobante comercial, producto identificado y explicación de uso. Logística recibe la dirección y la promesa aceptada; Servicio al cliente recibe las incidencias que no se resuelvan en el punto de venta.</w:t>
      </w:r>
    </w:p>
    <w:p>
      <w:pPr>
        <w:pStyle w:val="Heading1"/>
      </w:pPr>
      <w:r>
        <w:t>Responsables y autoridad</w:t>
      </w:r>
    </w:p>
    <w:p>
      <w:r>
        <w:t>Juliana Franco administra el equipo comercial y autoriza excepciones dentro de la matriz interna vigente. El asesor verifica compatibilidad y registra los requisitos del cliente. Caja confirma el estado del pago con Finanzas. Inventarios libera la unidad; el asesor no puede usar una devolución pendiente de revisión como producto disponible. Calidad decide la disposición de mercancía no conforme.</w:t>
      </w:r>
    </w:p>
    <w:p>
      <w:pPr>
        <w:pStyle w:val="Heading1"/>
      </w:pPr>
      <w:r>
        <w:t>Actividades y controles</w:t>
      </w:r>
    </w:p>
    <w:p>
      <w:pPr>
        <w:ind w:left="216" w:hanging="216"/>
      </w:pPr>
      <w:r>
        <w:t>1. Escuchar la necesidad y registrar producto, uso y restricciones relevantes. Si se ofrece instalación o capacitación, confirmar que esas prestaciones están incluidas en la orden.</w:t>
      </w:r>
    </w:p>
    <w:p>
      <w:pPr>
        <w:ind w:left="216" w:hanging="216"/>
      </w:pPr>
      <w:r>
        <w:t>2. Consultar la versión vigente del catálogo y verificar stock real. Para mercancía agotada, informar la condición de pedido pendiente y ofrecer una fecha solo cuando exista confirmación.</w:t>
      </w:r>
    </w:p>
    <w:p>
      <w:pPr>
        <w:ind w:left="216" w:hanging="216"/>
      </w:pPr>
      <w:r>
        <w:t>3. Explicar características, límites de uso y condiciones de entrega en lenguaje sencillo. Confirmar la compatibilidad de accesorios y evitar atribuir al equipo una capacidad no documentada.</w:t>
      </w:r>
    </w:p>
    <w:p>
      <w:pPr>
        <w:ind w:left="216" w:hanging="216"/>
      </w:pPr>
      <w:r>
        <w:t>4. Preparar la orden con código único, cantidades, precio aprobado y descuentos autorizados. Revisar los datos con el cliente antes de remitir al cobro.</w:t>
      </w:r>
    </w:p>
    <w:p>
      <w:pPr>
        <w:ind w:left="216" w:hanging="216"/>
      </w:pPr>
      <w:r>
        <w:t>5. Confirmar la transacción con el medio de pago registrado. Un comprobante enviado por el comprador no sustituye la conciliación; una operación dudosa se detiene y escala.</w:t>
      </w:r>
    </w:p>
    <w:p>
      <w:pPr>
        <w:ind w:left="216" w:hanging="216"/>
      </w:pPr>
      <w:r>
        <w:t>6. Separar la unidad por SKU y serial cuando aplique. Verificar empaque y accesorios junto con Inventarios; registrar cualquier diferencia antes de la entrega.</w:t>
      </w:r>
    </w:p>
    <w:p>
      <w:pPr>
        <w:ind w:left="216" w:hanging="216"/>
      </w:pPr>
      <w:r>
        <w:t>7. Entregar o transferir a Logística con fecha prometida y evidencia de aceptación. Para recogida, confirmar la identidad del receptor mediante el mecanismo permitido de la tienda.</w:t>
      </w:r>
    </w:p>
    <w:p>
      <w:pPr>
        <w:ind w:left="216" w:hanging="216"/>
      </w:pPr>
      <w:r>
        <w:t>8. Registrar cambios, devoluciones o quejas con referencia a la orden original. Abrir caso a Servicio al cliente y conservar el motivo, sin prometer un reembolso aún no autorizado.</w:t>
      </w:r>
    </w:p>
    <w:p>
      <w:pPr>
        <w:pStyle w:val="Heading1"/>
      </w:pPr>
      <w:r>
        <w:t>Riesgos y respuesta operativa</w:t>
      </w:r>
    </w:p>
    <w:p>
      <w:pPr>
        <w:pStyle w:val="ListBullet"/>
      </w:pPr>
      <w:r>
        <w:t>Venta de una unidad reservada a otro cliente: consultar y actualizar la reserva en el sistema antes del cobro. Ante caída del sistema, usar numeración temporal controlada y reconciliarla al restablecerse.</w:t>
      </w:r>
    </w:p>
    <w:p>
      <w:pPr>
        <w:pStyle w:val="ListBullet"/>
      </w:pPr>
      <w:r>
        <w:t>Oferta comercial desactualizada: retirar la pieza, conservar evidencia de la condición anunciada y acordar solución con Juliana y Legal cuando corresponda. No alterar retrospectivamente la orden.</w:t>
      </w:r>
    </w:p>
    <w:p>
      <w:pPr>
        <w:pStyle w:val="Heading1"/>
      </w:pPr>
      <w:r>
        <w:t>Seguimiento del proceso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0"/>
        <w:gridCol w:w="2847"/>
        <w:gridCol w:w="2440"/>
        <w:gridCol w:w="2440"/>
      </w:tblGrid>
      <w:tr>
        <w:trPr>
          <w:tblHeader w:val="true"/>
          <w:cantSplit/>
        </w:trPr>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Indicador y cálculo</w:t>
            </w:r>
          </w:p>
        </w:tc>
        <w:tc>
          <w:tcPr>
            <w:tcW w:type="dxa" w:w="2847"/>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Meta interna</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Frecuencia</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Responsable</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Órdenes sin corrección posterior / órdenes revisadas × 100</w:t>
            </w:r>
          </w:p>
        </w:tc>
        <w:tc>
          <w:tcPr>
            <w:tcW w:type="dxa" w:w="284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≥98%</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Mensual</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Juliana Franco</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Órdenes B2C con devolución / órdenes B2C registradas en el período × 100; cada orden una vez</w:t>
            </w:r>
          </w:p>
        </w:tc>
        <w:tc>
          <w:tcPr>
            <w:tcW w:type="dxa" w:w="284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≤3%</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Mensual</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Ventas y Calidad</w:t>
            </w:r>
          </w:p>
        </w:tc>
      </w:tr>
    </w:tbl>
    <w:p>
      <w:pPr>
        <w:spacing w:after="20" w:before="0" w:line="240" w:lineRule="auto"/>
      </w:pPr>
      <w:r>
        <w:rPr>
          <w:sz w:val="4"/>
        </w:rPr>
      </w:r>
    </w:p>
    <w:p>
      <w:pPr>
        <w:pStyle w:val="Heading1"/>
      </w:pPr>
      <w:r>
        <w:t>Recursos y registros</w:t>
      </w:r>
    </w:p>
    <w:p>
      <w:r>
        <w:t>El equipo utiliza catálogo controlado, terminal de venta y consulta de inventario. Registros: orden, autorización de descuento, comprobante de cobro, serial entregado y caso de servicio cuando aplique. La muestra de cadena de suministro se presenta en CC-RG-02; CC-FO-02 se utiliza si el producto requiere evaluación por no conformidad.</w:t>
      </w:r>
    </w:p>
    <w:p>
      <w:pPr>
        <w:pStyle w:val="Heading1"/>
      </w:pPr>
      <w:r>
        <w:t>Entrega y revisión del proceso</w:t>
      </w:r>
    </w:p>
    <w:p>
      <w:r>
        <w:t>La venta queda cerrada comercialmente cuando pago y entrega están conciliados, con pendientes visibles si los hubiera. Cada semana el supervisor revisa pedidos retenidos y promesas vencidas con Logística. La tasa de devoluciones de referencia del ejercicio 2025 es 3,2%; el objetivo interno obliga a investigar causas y no a reclasificar devoluciones como simples consultas.</w:t>
      </w:r>
    </w:p>
    <w:p>
      <w:pPr>
        <w:pStyle w:val="Heading1"/>
      </w:pPr>
      <w:r>
        <w:t>Documentos relacionados</w:t>
      </w:r>
    </w:p>
    <w:p>
      <w:r>
        <w:t>CC-CP-02 | CC-CP-07 | CC-CP-08 | CC-CP-10 | CC-CP-11 | CC-CP-13 | CC-CP-16 | CC-RG-02 | CC-FO-02</w:t>
      </w:r>
    </w:p>
    <w:p>
      <w:pPr>
        <w:pStyle w:val="Heading1"/>
      </w:pPr>
      <w:r>
        <w:t>Historial de cambios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43"/>
        <w:gridCol w:w="4270"/>
        <w:gridCol w:w="3253"/>
      </w:tblGrid>
      <w:tr>
        <w:trPr>
          <w:tblHeader w:val="true"/>
          <w:cantSplit/>
        </w:trPr>
        <w:tc>
          <w:tcPr>
            <w:tcW w:type="dxa" w:w="264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Revisión</w:t>
            </w:r>
          </w:p>
        </w:tc>
        <w:tc>
          <w:tcPr>
            <w:tcW w:type="dxa" w:w="427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Fecha</w:t>
            </w:r>
          </w:p>
        </w:tc>
        <w:tc>
          <w:tcPr>
            <w:tcW w:type="dxa" w:w="325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Cambio registrado</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04</w:t>
            </w:r>
          </w:p>
        </w:tc>
        <w:tc>
          <w:tcPr>
            <w:tcW w:type="dxa" w:w="4270"/>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2025-06-03</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Se incorpora la conciliación de recogidas de pedidos electrónicos en showroom.</w:t>
            </w:r>
          </w:p>
        </w:tc>
      </w:tr>
    </w:tbl>
    <w:p>
      <w:pPr>
        <w:spacing w:after="20" w:before="0" w:line="240" w:lineRule="auto"/>
      </w:pPr>
      <w:r>
        <w:rPr>
          <w:sz w:val="4"/>
        </w:rPr>
      </w:r>
    </w:p>
    <w:p>
      <w:r>
        <w:br w:type="page"/>
      </w:r>
    </w:p>
    <w:p>
      <w:pPr>
        <w:pStyle w:val="Title"/>
      </w:pPr>
      <w:r>
        <w:t>Venta consultiva y contratación B2B</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0"/>
        <w:gridCol w:w="2847"/>
        <w:gridCol w:w="2440"/>
        <w:gridCol w:w="2440"/>
      </w:tblGrid>
      <w:tr>
        <w:trPr>
          <w:tblHeader w:val="true"/>
          <w:cantSplit/>
        </w:trPr>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Código</w:t>
            </w:r>
          </w:p>
        </w:tc>
        <w:tc>
          <w:tcPr>
            <w:tcW w:type="dxa" w:w="2847"/>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Revisión</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Emisión</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Estado</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CC-CP-06</w:t>
            </w:r>
          </w:p>
        </w:tc>
        <w:tc>
          <w:tcPr>
            <w:tcW w:type="dxa" w:w="284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05</w:t>
            </w:r>
          </w:p>
        </w:tc>
        <w:tc>
          <w:tcPr>
            <w:tcW w:type="dxa" w:w="2440"/>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2025-04-22</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Vigente</w:t>
            </w:r>
          </w:p>
        </w:tc>
      </w:tr>
    </w:tbl>
    <w:p>
      <w:pPr>
        <w:spacing w:after="20" w:before="0" w:line="240" w:lineRule="auto"/>
      </w:pPr>
      <w:r>
        <w:rPr>
          <w:sz w:val="4"/>
        </w:rPr>
      </w:r>
    </w:p>
    <w:p>
      <w:pPr>
        <w:spacing w:after="60"/>
      </w:pPr>
      <w:r>
        <w:rPr>
          <w:b/>
        </w:rPr>
        <w:t xml:space="preserve">Tipo y área: </w:t>
      </w:r>
      <w:r>
        <w:t>Caracterización de proceso | Ventas B2B</w:t>
      </w:r>
    </w:p>
    <w:p>
      <w:pPr>
        <w:spacing w:after="60"/>
      </w:pPr>
      <w:r>
        <w:rPr>
          <w:b/>
        </w:rPr>
        <w:t xml:space="preserve">Responsable: </w:t>
      </w:r>
      <w:r>
        <w:t>Sebastián Vélez</w:t>
      </w:r>
    </w:p>
    <w:p>
      <w:pPr>
        <w:spacing w:after="60"/>
      </w:pPr>
      <w:r>
        <w:rPr>
          <w:b/>
        </w:rPr>
        <w:t xml:space="preserve">Aprobación interna: </w:t>
      </w:r>
      <w:r>
        <w:t>Valentina Ríos</w:t>
      </w:r>
    </w:p>
    <w:p>
      <w:pPr>
        <w:spacing w:before="100"/>
      </w:pPr>
      <w:r>
        <w:t>Ventas B2B convierte oportunidades en compromisos que la compañía puede cumplir. La revisión de requisitos ocurre antes de aceptar el contrato y se repite cuando el cliente modifica alcance, precio, fechas o condiciones de aprobación.</w:t>
      </w:r>
    </w:p>
    <w:p>
      <w:r>
        <w:rPr>
          <w:sz w:val="18"/>
        </w:rPr>
        <w:t>Referencia temática ISO 9001:2015: 4.4, 8.2, 8.3, 8.5.6.</w:t>
      </w:r>
    </w:p>
    <w:p>
      <w:pPr>
        <w:pStyle w:val="Heading1"/>
      </w:pPr>
      <w:r>
        <w:t>Propósito y alcance</w:t>
      </w:r>
    </w:p>
    <w:p>
      <w:r>
        <w:t>Comprende prospección calificada, levantamiento comercial, coordinación de la propuesta, negociación y entrega al equipo de proyecto. Cubre consultoría, diseño, aprovisionamiento, montaje, capacitación y mantenimiento de cafeterías. El asesor conserva la relación comercial durante la ejecución, pero no libera entregables técnicos. Las cotizaciones se expresan en COP e identifican si los valores son netos o incluyen impuestos, sin asumir condiciones no acordadas.</w:t>
      </w:r>
    </w:p>
    <w:p>
      <w:pPr>
        <w:pStyle w:val="Heading1"/>
      </w:pPr>
      <w:r>
        <w:t>Entradas resultados e interacciones</w:t>
      </w:r>
    </w:p>
    <w:p>
      <w:r>
        <w:t>Entradas: oportunidad de Marketing, solicitud directa, necesidades del comprador y antecedentes de cuenta. Consultoría y Diseño aportan viabilidad; Compras confirma suministro; Finanzas revisa condiciones de pago; Legal examina riesgos contractuales.</w:t>
      </w:r>
    </w:p>
    <w:p>
      <w:r>
        <w:t>Salidas: requisitos aceptados, oferta versionada, contrato u orden confirmada y traspaso al responsable del proyecto. Para CUS-003, PRJ-005 La Estación, la referencia es COT-2025-144 por COP 150.000.000 netos antes de impuestos aplicables.</w:t>
      </w:r>
    </w:p>
    <w:p>
      <w:pPr>
        <w:pStyle w:val="Heading1"/>
      </w:pPr>
      <w:r>
        <w:t>Responsables y autoridad</w:t>
      </w:r>
    </w:p>
    <w:p>
      <w:r>
        <w:t>Sebastián Vélez responde por la integridad de la oferta y el registro de excepciones. El ejecutivo comercial mantiene el expediente y confirma la autoridad del interlocutor. Andrés Molina valida el alcance de consultoría e Isabel Restrepo el de diseño. Finanzas valida pagos y garantías comerciales; Natalia Escobar revisa las condiciones que requieren tratamiento legal.</w:t>
      </w:r>
    </w:p>
    <w:p>
      <w:pPr>
        <w:pStyle w:val="Heading1"/>
      </w:pPr>
      <w:r>
        <w:t>Actividades y controles</w:t>
      </w:r>
    </w:p>
    <w:p>
      <w:pPr>
        <w:ind w:left="216" w:hanging="216"/>
      </w:pPr>
      <w:r>
        <w:t>1. Registrar oportunidad, cuenta y contacto decisor. Diferenciar comprador, aprobador, receptor y contacto de facturación; confirmar qué persona puede aceptar cada compromiso.</w:t>
      </w:r>
    </w:p>
    <w:p>
      <w:pPr>
        <w:ind w:left="216" w:hanging="216"/>
      </w:pPr>
      <w:r>
        <w:t>2. Recoger requisitos y criterios de aceptación. Documentar exclusiones, tareas del cliente, restricciones de obra y fecha deseada, evitando expresiones abiertas como todo incluido.</w:t>
      </w:r>
    </w:p>
    <w:p>
      <w:pPr>
        <w:ind w:left="216" w:hanging="216"/>
      </w:pPr>
      <w:r>
        <w:t>3. Solicitar la revisión de factibilidad a los procesos implicados. Mantener visibles los supuestos y las partidas sin confirmar; una cotización preliminar no se considera contrato.</w:t>
      </w:r>
    </w:p>
    <w:p>
      <w:pPr>
        <w:ind w:left="216" w:hanging="216"/>
      </w:pPr>
      <w:r>
        <w:t>4. Emitir oferta con número y revisión, alcance, entregables, hitos, precio, vigencia y pagos. Identificar explícitamente la versión que reemplaza y conservar su historial.</w:t>
      </w:r>
    </w:p>
    <w:p>
      <w:pPr>
        <w:ind w:left="216" w:hanging="216"/>
      </w:pPr>
      <w:r>
        <w:t>5. Revisar con Finanzas y Legal las desviaciones de las condiciones estándar. Obtener las aprobaciones internas exigidas antes de aceptar descuentos o compromisos especiales.</w:t>
      </w:r>
    </w:p>
    <w:p>
      <w:pPr>
        <w:ind w:left="216" w:hanging="216"/>
      </w:pPr>
      <w:r>
        <w:t>6. Confirmar aceptación del cliente y resolver diferencias con su orden de compra. Si persiste una discrepancia, suspender el inicio afectado y dejar constancia del motivo.</w:t>
      </w:r>
    </w:p>
    <w:p>
      <w:pPr>
        <w:ind w:left="216" w:hanging="216"/>
      </w:pPr>
      <w:r>
        <w:t>7. Realizar traspaso a Consultoría con expediente completo. Registrar responsables, fechas, requisitos de aceptación y condición de inicio; obtener acuse del líder de proyecto.</w:t>
      </w:r>
    </w:p>
    <w:p>
      <w:pPr>
        <w:ind w:left="216" w:hanging="216"/>
      </w:pPr>
      <w:r>
        <w:t>8. Gestionar cambios con CC-FO-01. Evaluar efecto técnico, económico y de plazo antes de confirmar al cliente; actualizar el expediente y avisar a todas las áreas afectadas.</w:t>
      </w:r>
    </w:p>
    <w:p>
      <w:pPr>
        <w:pStyle w:val="Heading1"/>
      </w:pPr>
      <w:r>
        <w:t>Riesgos y respuesta operativa</w:t>
      </w:r>
    </w:p>
    <w:p>
      <w:pPr>
        <w:pStyle w:val="ListBullet"/>
      </w:pPr>
      <w:r>
        <w:t>Compromiso incompatible con disponibilidad o instalación: exigir revisión de factibilidad y segunda lectura de la propuesta. La presión comercial no elimina el punto de control.</w:t>
      </w:r>
    </w:p>
    <w:p>
      <w:pPr>
        <w:pStyle w:val="ListBullet"/>
      </w:pPr>
      <w:r>
        <w:t>Cambio comunicado solo por mensajería: resumir la solicitud en el expediente, confirmar su interpretación con el cliente y mantener la versión anterior hasta que se apruebe la nueva.</w:t>
      </w:r>
    </w:p>
    <w:p>
      <w:pPr>
        <w:pStyle w:val="Heading1"/>
      </w:pPr>
      <w:r>
        <w:t>Seguimiento del proceso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0"/>
        <w:gridCol w:w="2847"/>
        <w:gridCol w:w="2440"/>
        <w:gridCol w:w="2440"/>
      </w:tblGrid>
      <w:tr>
        <w:trPr>
          <w:tblHeader w:val="true"/>
          <w:cantSplit/>
        </w:trPr>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Indicador y cálculo</w:t>
            </w:r>
          </w:p>
        </w:tc>
        <w:tc>
          <w:tcPr>
            <w:tcW w:type="dxa" w:w="2847"/>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Meta interna</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Frecuencia</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Responsable</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Contratos con revisión completa / contratos aceptados × 100</w:t>
            </w:r>
          </w:p>
        </w:tc>
        <w:tc>
          <w:tcPr>
            <w:tcW w:type="dxa" w:w="284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100%</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Mensual</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Sebastián Vélez</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Traspasos aceptados sin devolución / traspasos realizados × 100</w:t>
            </w:r>
          </w:p>
        </w:tc>
        <w:tc>
          <w:tcPr>
            <w:tcW w:type="dxa" w:w="284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≥95%</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Mensual</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Ventas y Consultoría</w:t>
            </w:r>
          </w:p>
        </w:tc>
      </w:tr>
    </w:tbl>
    <w:p>
      <w:pPr>
        <w:spacing w:after="20" w:before="0" w:line="240" w:lineRule="auto"/>
      </w:pPr>
      <w:r>
        <w:rPr>
          <w:sz w:val="4"/>
        </w:rPr>
      </w:r>
    </w:p>
    <w:p>
      <w:pPr>
        <w:pStyle w:val="Heading1"/>
      </w:pPr>
      <w:r>
        <w:t>Recursos y registros</w:t>
      </w:r>
    </w:p>
    <w:p>
      <w:r>
        <w:t>Se utiliza CRM, catálogo de servicios y repositorio de ofertas. La cotización, aceptación, revisión contractual y traspaso permanecen vinculados por cuenta y proyecto. CC-RG-01 muestra un expediente diligenciado. CC-FO-01 recoge modificaciones y CC-PR-01 regula su conservación y acceso; no se guardan credenciales del cliente.</w:t>
      </w:r>
    </w:p>
    <w:p>
      <w:pPr>
        <w:pStyle w:val="Heading1"/>
      </w:pPr>
      <w:r>
        <w:t>Entrega y revisión del proceso</w:t>
      </w:r>
    </w:p>
    <w:p>
      <w:r>
        <w:t>El traspaso comercial termina cuando Consultoría reconoce la línea base y sus pendientes. Los anticipos se confirman con Finanzas antes de habilitar compromisos de compra que los requieran. Mensualmente Sebastián revisa causas de ofertas perdidas y reclamos por expectativas, separando fallas comerciales de cambios solicitados posteriormente por el cliente.</w:t>
      </w:r>
    </w:p>
    <w:p>
      <w:pPr>
        <w:pStyle w:val="Heading1"/>
      </w:pPr>
      <w:r>
        <w:t>Documentos relacionados</w:t>
      </w:r>
    </w:p>
    <w:p>
      <w:r>
        <w:t>CC-CP-02 | CC-CP-04 | CC-CP-09 | CC-CP-15 | CC-CP-17 | CC-RG-01 | CC-FO-01 | CC-PR-01</w:t>
      </w:r>
    </w:p>
    <w:p>
      <w:pPr>
        <w:pStyle w:val="Heading1"/>
      </w:pPr>
      <w:r>
        <w:t>Historial de cambios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43"/>
        <w:gridCol w:w="4270"/>
        <w:gridCol w:w="3253"/>
      </w:tblGrid>
      <w:tr>
        <w:trPr>
          <w:tblHeader w:val="true"/>
          <w:cantSplit/>
        </w:trPr>
        <w:tc>
          <w:tcPr>
            <w:tcW w:type="dxa" w:w="264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Revisión</w:t>
            </w:r>
          </w:p>
        </w:tc>
        <w:tc>
          <w:tcPr>
            <w:tcW w:type="dxa" w:w="427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Fecha</w:t>
            </w:r>
          </w:p>
        </w:tc>
        <w:tc>
          <w:tcPr>
            <w:tcW w:type="dxa" w:w="325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Cambio registrado</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05</w:t>
            </w:r>
          </w:p>
        </w:tc>
        <w:tc>
          <w:tcPr>
            <w:tcW w:type="dxa" w:w="4270"/>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2025-04-22</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Se añade revisión explícita de la autoridad del aprobador del cliente.</w:t>
            </w:r>
          </w:p>
        </w:tc>
      </w:tr>
    </w:tbl>
    <w:p>
      <w:pPr>
        <w:spacing w:after="20" w:before="0" w:line="240" w:lineRule="auto"/>
      </w:pPr>
      <w:r>
        <w:rPr>
          <w:sz w:val="4"/>
        </w:rPr>
      </w:r>
    </w:p>
    <w:p>
      <w:r>
        <w:br w:type="page"/>
      </w:r>
    </w:p>
    <w:p>
      <w:pPr>
        <w:pStyle w:val="Title"/>
      </w:pPr>
      <w:r>
        <w:t>Marketing y comunicación de la oferta</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0"/>
        <w:gridCol w:w="2847"/>
        <w:gridCol w:w="2440"/>
        <w:gridCol w:w="2440"/>
      </w:tblGrid>
      <w:tr>
        <w:trPr>
          <w:tblHeader w:val="true"/>
          <w:cantSplit/>
        </w:trPr>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Código</w:t>
            </w:r>
          </w:p>
        </w:tc>
        <w:tc>
          <w:tcPr>
            <w:tcW w:type="dxa" w:w="2847"/>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Revisión</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Emisión</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Estado</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CC-CP-07</w:t>
            </w:r>
          </w:p>
        </w:tc>
        <w:tc>
          <w:tcPr>
            <w:tcW w:type="dxa" w:w="284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02</w:t>
            </w:r>
          </w:p>
        </w:tc>
        <w:tc>
          <w:tcPr>
            <w:tcW w:type="dxa" w:w="2440"/>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2025-03-17</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Vigente</w:t>
            </w:r>
          </w:p>
        </w:tc>
      </w:tr>
    </w:tbl>
    <w:p>
      <w:pPr>
        <w:spacing w:after="20" w:before="0" w:line="240" w:lineRule="auto"/>
      </w:pPr>
      <w:r>
        <w:rPr>
          <w:sz w:val="4"/>
        </w:rPr>
      </w:r>
    </w:p>
    <w:p>
      <w:pPr>
        <w:spacing w:after="60"/>
      </w:pPr>
      <w:r>
        <w:rPr>
          <w:b/>
        </w:rPr>
        <w:t xml:space="preserve">Tipo y área: </w:t>
      </w:r>
      <w:r>
        <w:t>Caracterización de proceso | Marketing</w:t>
      </w:r>
    </w:p>
    <w:p>
      <w:pPr>
        <w:spacing w:after="60"/>
      </w:pPr>
      <w:r>
        <w:rPr>
          <w:b/>
        </w:rPr>
        <w:t xml:space="preserve">Responsable: </w:t>
      </w:r>
      <w:r>
        <w:t>Laura Pardo</w:t>
      </w:r>
    </w:p>
    <w:p>
      <w:pPr>
        <w:spacing w:after="60"/>
      </w:pPr>
      <w:r>
        <w:rPr>
          <w:b/>
        </w:rPr>
        <w:t xml:space="preserve">Aprobación interna: </w:t>
      </w:r>
      <w:r>
        <w:t>Valentina Ríos</w:t>
      </w:r>
    </w:p>
    <w:p>
      <w:pPr>
        <w:spacing w:before="100"/>
      </w:pPr>
      <w:r>
        <w:t>Marketing presenta una oferta coherente con la capacidad real de Company Co y entrega oportunidades utilizables a los equipos de ventas. La prioridad es que la información publicada sea verificable y corresponda a productos y servicios vigentes.</w:t>
      </w:r>
    </w:p>
    <w:p>
      <w:r>
        <w:rPr>
          <w:sz w:val="18"/>
        </w:rPr>
        <w:t>Referencia temática ISO 9001:2015: 4.4, 7.4, 8.2.</w:t>
      </w:r>
    </w:p>
    <w:p>
      <w:pPr>
        <w:pStyle w:val="Heading1"/>
      </w:pPr>
      <w:r>
        <w:t>Propósito y alcance</w:t>
      </w:r>
    </w:p>
    <w:p>
      <w:r>
        <w:t>El proceso cubre campañas, contenidos comerciales, materiales de showroom, generación de oportunidades y seguimiento de resultados. Atiende segmentos de emprendedores de cafeterías, cadenas B2B y compradores B2C. No cambia especificaciones técnicas, precios ni condiciones contractuales sin revisión del área responsable. Los registros de contacto se utilizan únicamente en los canales y para las finalidades aprobadas en el sistema de gestión.</w:t>
      </w:r>
    </w:p>
    <w:p>
      <w:pPr>
        <w:pStyle w:val="Heading1"/>
      </w:pPr>
      <w:r>
        <w:t>Entradas resultados e interacciones</w:t>
      </w:r>
    </w:p>
    <w:p>
      <w:r>
        <w:t>Entradas: objetivos comerciales, necesidades de clientes, inventario disponible, ficha técnica vigente y resultados de satisfacción. Ventas y Servicio al cliente aportan preguntas frecuentes y problemas que deban aclararse en los materiales.</w:t>
      </w:r>
    </w:p>
    <w:p>
      <w:r>
        <w:t>Salidas: contenidos revisados, campañas identificadas, oportunidades calificadas y mediciones. Ventas B2B recibe la necesidad y el contexto de cada oportunidad; Ventas B2C y E-commerce reciben promociones con fecha de inicio y terminación.</w:t>
      </w:r>
    </w:p>
    <w:p>
      <w:pPr>
        <w:pStyle w:val="Heading1"/>
      </w:pPr>
      <w:r>
        <w:t>Responsables y autoridad</w:t>
      </w:r>
    </w:p>
    <w:p>
      <w:r>
        <w:t>Laura Pardo aprueba el contenido y asigna un responsable por campaña. El dueño del producto valida la exactitud técnica; Finanzas y Ventas validan condiciones económicas. Natalia Escobar revisa cuestiones de comunicación que puedan afectar compromisos o tratamiento de datos. La persona que publica comprueba que los enlaces, precios y fechas coincidan con la pieza aprobada.</w:t>
      </w:r>
    </w:p>
    <w:p>
      <w:pPr>
        <w:pStyle w:val="Heading1"/>
      </w:pPr>
      <w:r>
        <w:t>Actividades y controles</w:t>
      </w:r>
    </w:p>
    <w:p>
      <w:pPr>
        <w:ind w:left="216" w:hanging="216"/>
      </w:pPr>
      <w:r>
        <w:t>1. Preparar el encargo de campaña con público, necesidad, canal, producto y resultado esperado. Consultar antecedentes de quejas para evitar mensajes ambiguos que ya hayan generado errores.</w:t>
      </w:r>
    </w:p>
    <w:p>
      <w:pPr>
        <w:ind w:left="216" w:hanging="216"/>
      </w:pPr>
      <w:r>
        <w:t>2. Recopilar especificaciones y condiciones comerciales desde sus fuentes controladas. Anotar versión y responsable; no reutilizar una imagen antigua como prueba de vigencia de una oferta.</w:t>
      </w:r>
    </w:p>
    <w:p>
      <w:pPr>
        <w:ind w:left="216" w:hanging="216"/>
      </w:pPr>
      <w:r>
        <w:t>3. Redactar contenido con límites claros. Si se menciona rendimiento, ahorro o capacidad, solicitar evidencia y aclarar las condiciones bajo las cuales aplica esa afirmación.</w:t>
      </w:r>
    </w:p>
    <w:p>
      <w:pPr>
        <w:ind w:left="216" w:hanging="216"/>
      </w:pPr>
      <w:r>
        <w:t>4. Enviar la pieza a revisión técnica y comercial. Resolver observaciones, registrar aprobación y conservar la versión publicada, incluidos textos breves de anuncios y páginas de destino.</w:t>
      </w:r>
    </w:p>
    <w:p>
      <w:pPr>
        <w:ind w:left="216" w:hanging="216"/>
      </w:pPr>
      <w:r>
        <w:t>5. Comprobar stock, fechas y funcionamiento de los enlaces antes del lanzamiento. Si una dependencia no está lista, aplazar la parte afectada y avisar a los equipos de atención.</w:t>
      </w:r>
    </w:p>
    <w:p>
      <w:pPr>
        <w:ind w:left="216" w:hanging="216"/>
      </w:pPr>
      <w:r>
        <w:t>6. Registrar oportunidades con origen, interés, datos mínimos y prioridad. Evitar duplicados; entregar a Ventas con información suficiente para que el cliente no repita toda su solicitud.</w:t>
      </w:r>
    </w:p>
    <w:p>
      <w:pPr>
        <w:ind w:left="216" w:hanging="216"/>
      </w:pPr>
      <w:r>
        <w:t>7. Supervisar comentarios, errores y vigencia. Retirar o corregir con rapidez una publicación inexacta, conservando qué se cambió y la fecha del ajuste.</w:t>
      </w:r>
    </w:p>
    <w:p>
      <w:pPr>
        <w:ind w:left="216" w:hanging="216"/>
      </w:pPr>
      <w:r>
        <w:t>8. Cerrar la campaña con resultados y aprendizajes. Comparar oportunidades útiles, costos y conversiones conciliadas; distinguir alcance de redes sociales de ventas efectivamente registradas.</w:t>
      </w:r>
    </w:p>
    <w:p>
      <w:pPr>
        <w:pStyle w:val="Heading1"/>
      </w:pPr>
      <w:r>
        <w:t>Riesgos y respuesta operativa</w:t>
      </w:r>
    </w:p>
    <w:p>
      <w:pPr>
        <w:pStyle w:val="ListBullet"/>
      </w:pPr>
      <w:r>
        <w:t>Promesa no sustentada de desempeño: revisión del dueño técnico y archivo de evidencia antes de publicar. Si falta sustento, reformular el mensaje con atributos verificables.</w:t>
      </w:r>
    </w:p>
    <w:p>
      <w:pPr>
        <w:pStyle w:val="ListBullet"/>
      </w:pPr>
      <w:r>
        <w:t>Oferta visible después de vencer: mantener calendario de retiro con suplente y comprobar la página al cierre. Las capturas se conservan como evidencia, sin modificar la fecha original.</w:t>
      </w:r>
    </w:p>
    <w:p>
      <w:pPr>
        <w:pStyle w:val="Heading1"/>
      </w:pPr>
      <w:r>
        <w:t>Seguimiento del proceso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0"/>
        <w:gridCol w:w="2847"/>
        <w:gridCol w:w="2440"/>
        <w:gridCol w:w="2440"/>
      </w:tblGrid>
      <w:tr>
        <w:trPr>
          <w:tblHeader w:val="true"/>
          <w:cantSplit/>
        </w:trPr>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Indicador y cálculo</w:t>
            </w:r>
          </w:p>
        </w:tc>
        <w:tc>
          <w:tcPr>
            <w:tcW w:type="dxa" w:w="2847"/>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Meta interna</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Frecuencia</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Responsable</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Piezas revisadas antes de publicar / piezas publicadas × 100</w:t>
            </w:r>
          </w:p>
        </w:tc>
        <w:tc>
          <w:tcPr>
            <w:tcW w:type="dxa" w:w="284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100%</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Mensual</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Laura Pardo</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Oportunidades aceptadas por Ventas / oportunidades entregadas × 100</w:t>
            </w:r>
          </w:p>
        </w:tc>
        <w:tc>
          <w:tcPr>
            <w:tcW w:type="dxa" w:w="284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≥80%</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Mensual</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Marketing y Ventas</w:t>
            </w:r>
          </w:p>
        </w:tc>
      </w:tr>
    </w:tbl>
    <w:p>
      <w:pPr>
        <w:spacing w:after="20" w:before="0" w:line="240" w:lineRule="auto"/>
      </w:pPr>
      <w:r>
        <w:rPr>
          <w:sz w:val="4"/>
        </w:rPr>
      </w:r>
    </w:p>
    <w:p>
      <w:pPr>
        <w:pStyle w:val="Heading1"/>
      </w:pPr>
      <w:r>
        <w:t>Recursos y registros</w:t>
      </w:r>
    </w:p>
    <w:p>
      <w:r>
        <w:t>Se requieren repositorio de activos, calendario editorial y acceso autorizado a canales. Los registros incluyen encargo, versiones, revisiones, publicación y cierre. CC-PR-01 controla las copias; CC-FO-01 registra cambios materiales de una campaña. Las aprobaciones y métricas completas se conservan en el repositorio operativo; este expediente aporta la caracterización, no todas las campañas del año.</w:t>
      </w:r>
    </w:p>
    <w:p>
      <w:pPr>
        <w:pStyle w:val="Heading1"/>
      </w:pPr>
      <w:r>
        <w:t>Entrega y revisión del proceso</w:t>
      </w:r>
    </w:p>
    <w:p>
      <w:r>
        <w:t>La oportunidad queda entregada cuando Ventas acepta su asignación o devuelve un motivo concreto. Las quejas por publicidad se remiten a Servicio al cliente y Calidad. Laura revisa mensualmente errores de publicación y establece acciones cuando aparecen patrones. No se considera eficaz una campaña solo por obtener visitas si la oferta no puede cumplirse.</w:t>
      </w:r>
    </w:p>
    <w:p>
      <w:pPr>
        <w:pStyle w:val="Heading1"/>
      </w:pPr>
      <w:r>
        <w:t>Documentos relacionados</w:t>
      </w:r>
    </w:p>
    <w:p>
      <w:r>
        <w:t>CC-CP-05 | CC-CP-06 | CC-CP-08 | CC-CP-13 | CC-CP-16 | CC-CP-17 | CC-PR-01 | CC-FO-01</w:t>
      </w:r>
    </w:p>
    <w:p>
      <w:pPr>
        <w:pStyle w:val="Heading1"/>
      </w:pPr>
      <w:r>
        <w:t>Historial de cambios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43"/>
        <w:gridCol w:w="4270"/>
        <w:gridCol w:w="3253"/>
      </w:tblGrid>
      <w:tr>
        <w:trPr>
          <w:tblHeader w:val="true"/>
          <w:cantSplit/>
        </w:trPr>
        <w:tc>
          <w:tcPr>
            <w:tcW w:type="dxa" w:w="264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Revisión</w:t>
            </w:r>
          </w:p>
        </w:tc>
        <w:tc>
          <w:tcPr>
            <w:tcW w:type="dxa" w:w="427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Fecha</w:t>
            </w:r>
          </w:p>
        </w:tc>
        <w:tc>
          <w:tcPr>
            <w:tcW w:type="dxa" w:w="325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Cambio registrado</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02</w:t>
            </w:r>
          </w:p>
        </w:tc>
        <w:tc>
          <w:tcPr>
            <w:tcW w:type="dxa" w:w="4270"/>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2025-03-17</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Se exige conservar la versión publicada y controlar el retiro de promociones.</w:t>
            </w:r>
          </w:p>
        </w:tc>
      </w:tr>
    </w:tbl>
    <w:p>
      <w:pPr>
        <w:spacing w:after="20" w:before="0" w:line="240" w:lineRule="auto"/>
      </w:pPr>
      <w:r>
        <w:rPr>
          <w:sz w:val="4"/>
        </w:rPr>
      </w:r>
    </w:p>
    <w:p>
      <w:r>
        <w:br w:type="page"/>
      </w:r>
    </w:p>
    <w:p>
      <w:pPr>
        <w:pStyle w:val="Title"/>
      </w:pPr>
      <w:r>
        <w:t>Operación de comercio electrónico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0"/>
        <w:gridCol w:w="2847"/>
        <w:gridCol w:w="2440"/>
        <w:gridCol w:w="2440"/>
      </w:tblGrid>
      <w:tr>
        <w:trPr>
          <w:tblHeader w:val="true"/>
          <w:cantSplit/>
        </w:trPr>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Código</w:t>
            </w:r>
          </w:p>
        </w:tc>
        <w:tc>
          <w:tcPr>
            <w:tcW w:type="dxa" w:w="2847"/>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Revisión</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Emisión</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Estado</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CC-CP-08</w:t>
            </w:r>
          </w:p>
        </w:tc>
        <w:tc>
          <w:tcPr>
            <w:tcW w:type="dxa" w:w="284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04</w:t>
            </w:r>
          </w:p>
        </w:tc>
        <w:tc>
          <w:tcPr>
            <w:tcW w:type="dxa" w:w="2440"/>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2025-07-07</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Vigente</w:t>
            </w:r>
          </w:p>
        </w:tc>
      </w:tr>
    </w:tbl>
    <w:p>
      <w:pPr>
        <w:spacing w:after="20" w:before="0" w:line="240" w:lineRule="auto"/>
      </w:pPr>
      <w:r>
        <w:rPr>
          <w:sz w:val="4"/>
        </w:rPr>
      </w:r>
    </w:p>
    <w:p>
      <w:pPr>
        <w:spacing w:after="60"/>
      </w:pPr>
      <w:r>
        <w:rPr>
          <w:b/>
        </w:rPr>
        <w:t xml:space="preserve">Tipo y área: </w:t>
      </w:r>
      <w:r>
        <w:t>Caracterización de proceso | E-commerce</w:t>
      </w:r>
    </w:p>
    <w:p>
      <w:pPr>
        <w:spacing w:after="60"/>
      </w:pPr>
      <w:r>
        <w:rPr>
          <w:b/>
        </w:rPr>
        <w:t xml:space="preserve">Responsable: </w:t>
      </w:r>
      <w:r>
        <w:t>Nicolás Acosta</w:t>
      </w:r>
    </w:p>
    <w:p>
      <w:pPr>
        <w:spacing w:after="60"/>
      </w:pPr>
      <w:r>
        <w:rPr>
          <w:b/>
        </w:rPr>
        <w:t xml:space="preserve">Aprobación interna: </w:t>
      </w:r>
      <w:r>
        <w:t>Valentina Ríos</w:t>
      </w:r>
    </w:p>
    <w:p>
      <w:pPr>
        <w:spacing w:before="100"/>
      </w:pPr>
      <w:r>
        <w:t>E-commerce convierte la compra digital en una orden trazable desde el carrito hasta la entrega y la devolución. El estado visible para el comprador debe coincidir con el estado de pago, reserva y despacho comprobado por la compañía.</w:t>
      </w:r>
    </w:p>
    <w:p>
      <w:r>
        <w:rPr>
          <w:sz w:val="18"/>
        </w:rPr>
        <w:t>Referencia temática ISO 9001:2015: 4.4, 8.2, 8.5, 8.6, 9.1.</w:t>
      </w:r>
    </w:p>
    <w:p>
      <w:pPr>
        <w:pStyle w:val="Heading1"/>
      </w:pPr>
      <w:r>
        <w:t>Propósito y alcance</w:t>
      </w:r>
    </w:p>
    <w:p>
      <w:r>
        <w:t>Aplica al catálogo en línea de equipos, accesorios, mobiliario, café e insumos y a pedidos con envío o recogida. Incluye publicación, recepción de pagos, validación de órdenes, comunicación transaccional y conciliación con Finanzas. La administración de infraestructura corresponde a Tecnología. Este proceso no autoriza cambios técnicos de producción ni la aprobación automática de operaciones marcadas como sospechosas.</w:t>
      </w:r>
    </w:p>
    <w:p>
      <w:pPr>
        <w:pStyle w:val="Heading1"/>
      </w:pPr>
      <w:r>
        <w:t>Entradas resultados e interacciones</w:t>
      </w:r>
    </w:p>
    <w:p>
      <w:r>
        <w:t>Entradas: fichas de producto de Compras y Calidad, precios aprobados, existencias de Inventarios, campañas de Marketing y confirmaciones del proveedor de pagos.</w:t>
      </w:r>
    </w:p>
    <w:p>
      <w:r>
        <w:t>Resultados: orden confirmada o retenida con motivo, reserva de existencias, instrucción de preparación, comunicación al comprador y conciliación de transacciones. Logística devuelve guía y entrega; Servicio al cliente canaliza consultas, cancelaciones y devoluciones.</w:t>
      </w:r>
    </w:p>
    <w:p>
      <w:pPr>
        <w:pStyle w:val="Heading1"/>
      </w:pPr>
      <w:r>
        <w:t>Responsables y autoridad</w:t>
      </w:r>
    </w:p>
    <w:p>
      <w:r>
        <w:t>Nicolás Acosta responde por el catálogo y la integridad operativa de las órdenes. Finanzas valida cobros, reembolsos y diferencias de conciliación. Paola Cárdenas confirma existencias; Felipe Ospina informa entregas. Santiago Robledo gestiona incidentes técnicos. Solo los perfiles autorizados pueden ajustar estados, y cada cambio conserva usuario, momento y motivo.</w:t>
      </w:r>
    </w:p>
    <w:p>
      <w:pPr>
        <w:pStyle w:val="Heading1"/>
      </w:pPr>
      <w:r>
        <w:t>Actividades y controles</w:t>
      </w:r>
    </w:p>
    <w:p>
      <w:pPr>
        <w:ind w:left="216" w:hanging="216"/>
      </w:pPr>
      <w:r>
        <w:t>1. Publicar cada SKU con información aprobada, precio, disponibilidad y condiciones de entrega. Verificar imágenes, variantes y accesorios; registrar revisión antes de habilitar la compra.</w:t>
      </w:r>
    </w:p>
    <w:p>
      <w:pPr>
        <w:ind w:left="216" w:hanging="216"/>
      </w:pPr>
      <w:r>
        <w:t>2. Crear una orden única al confirmar el pedido. Mantener separados número de orden y referencia de pago para que un reintento no genere dos órdenes aceptadas.</w:t>
      </w:r>
    </w:p>
    <w:p>
      <w:pPr>
        <w:ind w:left="216" w:hanging="216"/>
      </w:pPr>
      <w:r>
        <w:t>3. Validar el evento de pago en el canal soportado y conciliar importe, moneda y orden. No marcar pagado por una captura de pantalla ni por un mensaje sin verificación.</w:t>
      </w:r>
    </w:p>
    <w:p>
      <w:pPr>
        <w:ind w:left="216" w:hanging="216"/>
      </w:pPr>
      <w:r>
        <w:t>4. Reservar inventario al cumplirse las condiciones internas de pago y disponibilidad. Si falla la reserva, retener el pedido y comunicar una solución con plazo; no prometer despacho inexistente.</w:t>
      </w:r>
    </w:p>
    <w:p>
      <w:pPr>
        <w:ind w:left="216" w:hanging="216"/>
      </w:pPr>
      <w:r>
        <w:t>5. Revisar pedidos sospechosos con Finanzas antes de liberar mercancía. Conservar el motivo de retención y la decisión autorizada, sin almacenar datos de pago innecesarios.</w:t>
      </w:r>
    </w:p>
    <w:p>
      <w:pPr>
        <w:ind w:left="216" w:hanging="216"/>
      </w:pPr>
      <w:r>
        <w:t>6. Enviar a preparación la orden completa y recibir confirmación de Logística. El cambio a despachado requiere evidencia de salida; el cambio a entregado requiere evidencia de recepción.</w:t>
      </w:r>
    </w:p>
    <w:p>
      <w:pPr>
        <w:ind w:left="216" w:hanging="216"/>
      </w:pPr>
      <w:r>
        <w:t>7. Conciliar diariamente pedidos, cobros, liquidaciones y reembolsos. Identificar transacciones duplicadas, cobros sin orden y órdenes sin cobro; asignar responsable y mantener la diferencia abierta hasta resolverla.</w:t>
      </w:r>
    </w:p>
    <w:p>
      <w:pPr>
        <w:ind w:left="216" w:hanging="216"/>
      </w:pPr>
      <w:r>
        <w:t>8. Gestionar cancelación o devolución con Servicio al cliente, Inventarios y Finanzas. Vincular el reembolso a la orden original, la decisión de retorno y su comprobante de ejecución.</w:t>
      </w:r>
    </w:p>
    <w:p>
      <w:pPr>
        <w:pStyle w:val="Heading1"/>
      </w:pPr>
      <w:r>
        <w:t>Riesgos y respuesta operativa</w:t>
      </w:r>
    </w:p>
    <w:p>
      <w:pPr>
        <w:pStyle w:val="ListBullet"/>
      </w:pPr>
      <w:r>
        <w:t>Repetición de una notificación de pago: reconciliar por identificador de transacción y aplicar actualización idempotente. Los duplicados se registran y no originan doble salida de inventario.</w:t>
      </w:r>
    </w:p>
    <w:p>
      <w:pPr>
        <w:pStyle w:val="ListBullet"/>
      </w:pPr>
      <w:r>
        <w:t>Caída del sitio o desajuste de stock: detener la promesa afectada, abrir incidente a Tecnología y revisar órdenes en tránsito. Restablecer ventas tras comprobar catálogo y cola pendiente.</w:t>
      </w:r>
    </w:p>
    <w:p>
      <w:pPr>
        <w:pStyle w:val="Heading1"/>
      </w:pPr>
      <w:r>
        <w:t>Seguimiento del proceso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0"/>
        <w:gridCol w:w="2847"/>
        <w:gridCol w:w="2440"/>
        <w:gridCol w:w="2440"/>
      </w:tblGrid>
      <w:tr>
        <w:trPr>
          <w:tblHeader w:val="true"/>
          <w:cantSplit/>
        </w:trPr>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Indicador y cálculo</w:t>
            </w:r>
          </w:p>
        </w:tc>
        <w:tc>
          <w:tcPr>
            <w:tcW w:type="dxa" w:w="2847"/>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Meta interna</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Frecuencia</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Responsable</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Transacciones conciliadas al cierre / transacciones recibidas × 100</w:t>
            </w:r>
          </w:p>
        </w:tc>
        <w:tc>
          <w:tcPr>
            <w:tcW w:type="dxa" w:w="284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≥99,5%</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Diaria y mensual</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Nicolás y Finanzas</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Órdenes con estado coherente / órdenes muestreadas × 100</w:t>
            </w:r>
          </w:p>
        </w:tc>
        <w:tc>
          <w:tcPr>
            <w:tcW w:type="dxa" w:w="284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100%</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Semanal</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Nicolás Acosta</w:t>
            </w:r>
          </w:p>
        </w:tc>
      </w:tr>
    </w:tbl>
    <w:p>
      <w:pPr>
        <w:spacing w:after="20" w:before="0" w:line="240" w:lineRule="auto"/>
      </w:pPr>
      <w:r>
        <w:rPr>
          <w:sz w:val="4"/>
        </w:rPr>
      </w:r>
    </w:p>
    <w:p>
      <w:pPr>
        <w:pStyle w:val="Heading1"/>
      </w:pPr>
      <w:r>
        <w:t>Recursos y registros</w:t>
      </w:r>
    </w:p>
    <w:p>
      <w:r>
        <w:t>Se utilizan plataforma comercial, integración de pagos, inventario y registro de incidencias con accesos nominales. Registros mínimos: orden, referencia externa, historial de estados, reserva, guía y conciliación. CC-FO-02 permite documentar una discrepancia; CC-PR-01 controla conservación. Las credenciales y datos completos de tarjeta no forman parte del expediente de calidad.</w:t>
      </w:r>
    </w:p>
    <w:p>
      <w:pPr>
        <w:pStyle w:val="Heading1"/>
      </w:pPr>
      <w:r>
        <w:t>Entrega y revisión del proceso</w:t>
      </w:r>
    </w:p>
    <w:p>
      <w:r>
        <w:t>El cierre diario identifica diferencias pendientes y su responsable, aunque el tablero comercial ya muestre ventas. Nicolás comparte el resumen con Finanzas y Servicio al cliente. Los incidentes repetidos se analizan con Calidad mediante CC-PR-04. Los cambios de catálogo o plataforma que afecten promesas activas siguen CC-FO-01 y se comunican a Logística.</w:t>
      </w:r>
    </w:p>
    <w:p>
      <w:pPr>
        <w:pStyle w:val="Heading1"/>
      </w:pPr>
      <w:r>
        <w:t>Documentos relacionados</w:t>
      </w:r>
    </w:p>
    <w:p>
      <w:r>
        <w:t>CC-CP-02 | CC-CP-07 | CC-CP-10 | CC-CP-11 | CC-CP-13 | CC-CP-14 | CC-PR-01 | CC-PR-04 | CC-FO-01 | CC-FO-02</w:t>
      </w:r>
    </w:p>
    <w:p>
      <w:pPr>
        <w:pStyle w:val="Heading1"/>
      </w:pPr>
      <w:r>
        <w:t>Historial de cambios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43"/>
        <w:gridCol w:w="4270"/>
        <w:gridCol w:w="3253"/>
      </w:tblGrid>
      <w:tr>
        <w:trPr>
          <w:tblHeader w:val="true"/>
          <w:cantSplit/>
        </w:trPr>
        <w:tc>
          <w:tcPr>
            <w:tcW w:type="dxa" w:w="264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Revisión</w:t>
            </w:r>
          </w:p>
        </w:tc>
        <w:tc>
          <w:tcPr>
            <w:tcW w:type="dxa" w:w="427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Fecha</w:t>
            </w:r>
          </w:p>
        </w:tc>
        <w:tc>
          <w:tcPr>
            <w:tcW w:type="dxa" w:w="325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Cambio registrado</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04</w:t>
            </w:r>
          </w:p>
        </w:tc>
        <w:tc>
          <w:tcPr>
            <w:tcW w:type="dxa" w:w="4270"/>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2025-07-07</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Se incorpora el control de cobros duplicados y la conciliación diaria de estados.</w:t>
            </w:r>
          </w:p>
        </w:tc>
      </w:tr>
    </w:tbl>
    <w:p>
      <w:pPr>
        <w:spacing w:after="20" w:before="0" w:line="240" w:lineRule="auto"/>
      </w:pPr>
      <w:r>
        <w:rPr>
          <w:sz w:val="4"/>
        </w:rPr>
      </w:r>
    </w:p>
    <w:p>
      <w:r>
        <w:br w:type="page"/>
      </w:r>
    </w:p>
    <w:p>
      <w:pPr>
        <w:pStyle w:val="Title"/>
      </w:pPr>
      <w:r>
        <w:t>Compras y desarrollo de proveedores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0"/>
        <w:gridCol w:w="2847"/>
        <w:gridCol w:w="2440"/>
        <w:gridCol w:w="2440"/>
      </w:tblGrid>
      <w:tr>
        <w:trPr>
          <w:tblHeader w:val="true"/>
          <w:cantSplit/>
        </w:trPr>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Código</w:t>
            </w:r>
          </w:p>
        </w:tc>
        <w:tc>
          <w:tcPr>
            <w:tcW w:type="dxa" w:w="2847"/>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Revisión</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Emisión</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Estado</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CC-CP-09</w:t>
            </w:r>
          </w:p>
        </w:tc>
        <w:tc>
          <w:tcPr>
            <w:tcW w:type="dxa" w:w="284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06</w:t>
            </w:r>
          </w:p>
        </w:tc>
        <w:tc>
          <w:tcPr>
            <w:tcW w:type="dxa" w:w="2440"/>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2025-08-11</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Vigente</w:t>
            </w:r>
          </w:p>
        </w:tc>
      </w:tr>
    </w:tbl>
    <w:p>
      <w:pPr>
        <w:spacing w:after="20" w:before="0" w:line="240" w:lineRule="auto"/>
      </w:pPr>
      <w:r>
        <w:rPr>
          <w:sz w:val="4"/>
        </w:rPr>
      </w:r>
    </w:p>
    <w:p>
      <w:pPr>
        <w:spacing w:after="60"/>
      </w:pPr>
      <w:r>
        <w:rPr>
          <w:b/>
        </w:rPr>
        <w:t xml:space="preserve">Tipo y área: </w:t>
      </w:r>
      <w:r>
        <w:t>Caracterización de proceso | Compras</w:t>
      </w:r>
    </w:p>
    <w:p>
      <w:pPr>
        <w:spacing w:after="60"/>
      </w:pPr>
      <w:r>
        <w:rPr>
          <w:b/>
        </w:rPr>
        <w:t xml:space="preserve">Responsable: </w:t>
      </w:r>
      <w:r>
        <w:t>Daniela Suárez</w:t>
      </w:r>
    </w:p>
    <w:p>
      <w:pPr>
        <w:spacing w:after="60"/>
      </w:pPr>
      <w:r>
        <w:rPr>
          <w:b/>
        </w:rPr>
        <w:t xml:space="preserve">Aprobación interna: </w:t>
      </w:r>
      <w:r>
        <w:t>Valentina Ríos</w:t>
      </w:r>
    </w:p>
    <w:p>
      <w:pPr>
        <w:spacing w:before="100"/>
      </w:pPr>
      <w:r>
        <w:t>Compras asegura que los suministros y servicios externos correspondan a los requisitos del proyecto o del catálogo. La selección del proveedor considera capacidad, calidad, plazo y respuesta ante problemas, además del precio.</w:t>
      </w:r>
    </w:p>
    <w:p>
      <w:r>
        <w:rPr>
          <w:sz w:val="18"/>
        </w:rPr>
        <w:t>Referencia temática ISO 9001:2015: 4.4, 8.4, 8.5, 8.6.</w:t>
      </w:r>
    </w:p>
    <w:p>
      <w:pPr>
        <w:pStyle w:val="Heading1"/>
      </w:pPr>
      <w:r>
        <w:t>Propósito y alcance</w:t>
      </w:r>
    </w:p>
    <w:p>
      <w:r>
        <w:t>Comprende alta y evaluación de proveedores, solicitud de cotizaciones, revisión de especificaciones, emisión de órdenes y seguimiento hasta la recepción. Incluye equipos, mobiliario, insumos y servicios de instalación contratados. No se liberan cambios de especificación solo por disponibilidad comercial. Cuando un proveedor participa en la entrega al cliente, Company Co mantiene la responsabilidad de verificar el resultado contratado.</w:t>
      </w:r>
    </w:p>
    <w:p>
      <w:pPr>
        <w:pStyle w:val="Heading1"/>
      </w:pPr>
      <w:r>
        <w:t>Entradas resultados e interacciones</w:t>
      </w:r>
    </w:p>
    <w:p>
      <w:r>
        <w:t>Entradas: requisición aprobada, especificaciones de Diseño o Consultoría, necesidad de reposición de Inventarios y presupuesto confirmado por Finanzas. Calidad define verificaciones de recepción para suministros críticos.</w:t>
      </w:r>
    </w:p>
    <w:p>
      <w:r>
        <w:t>Salidas: proveedor aprobado o condicionado, orden de compra, confirmación de entrega y evaluación de desempeño. Inventarios recibe requisitos de inspección; Logística recibe fechas y restricciones. CC-RG-02 incluye PO-2025-084 para la muestra del proyecto PRJ-005.</w:t>
      </w:r>
    </w:p>
    <w:p>
      <w:pPr>
        <w:pStyle w:val="Heading1"/>
      </w:pPr>
      <w:r>
        <w:t>Responsables y autoridad</w:t>
      </w:r>
    </w:p>
    <w:p>
      <w:r>
        <w:t>Daniela Suárez autoriza la selección dentro de las facultades aprobadas. El solicitante valida la equivalencia técnica; Finanzas valida condiciones económicas y pagos; Calidad decide el tratamiento de incumplimientos. La persona que solicita no modifica a solas un dato crítico de la orden ya confirmada. El proveedor debe aceptar por escrito las condiciones que deba cumplir.</w:t>
      </w:r>
    </w:p>
    <w:p>
      <w:pPr>
        <w:pStyle w:val="Heading1"/>
      </w:pPr>
      <w:r>
        <w:t>Actividades y controles</w:t>
      </w:r>
    </w:p>
    <w:p>
      <w:pPr>
        <w:ind w:left="216" w:hanging="216"/>
      </w:pPr>
      <w:r>
        <w:t>1. Revisar la requisición: cantidad, especificación, fecha, ubicación y criterio de aceptación. Devolver solicitudes ambiguas y asignar una consulta concreta al área solicitante.</w:t>
      </w:r>
    </w:p>
    <w:p>
      <w:pPr>
        <w:ind w:left="216" w:hanging="216"/>
      </w:pPr>
      <w:r>
        <w:t>2. Consultar proveedores aprobados y su evaluación más reciente. Para uno nuevo o condicionado, comprobar capacidad y definir controles adicionales antes de comprometer un suministro crítico.</w:t>
      </w:r>
    </w:p>
    <w:p>
      <w:pPr>
        <w:ind w:left="216" w:hanging="216"/>
      </w:pPr>
      <w:r>
        <w:t>3. Solicitar ofertas comparables y documentar diferencias técnicas, plazo, garantías y condiciones. Registrar la justificación si solo existe una alternativa viable.</w:t>
      </w:r>
    </w:p>
    <w:p>
      <w:pPr>
        <w:ind w:left="216" w:hanging="216"/>
      </w:pPr>
      <w:r>
        <w:t>4. Comparar con el solicitante y obtener las aprobaciones necesarias. Un equipo sustituto requiere aceptación técnica y análisis del efecto sobre diseño, instalación y cliente.</w:t>
      </w:r>
    </w:p>
    <w:p>
      <w:pPr>
        <w:ind w:left="216" w:hanging="216"/>
      </w:pPr>
      <w:r>
        <w:t>5. Emitir orden con identificación, revisión, cantidades, requisitos y documentos de entrega. Conservar la aceptación del proveedor y resolver discrepancias antes del despacho.</w:t>
      </w:r>
    </w:p>
    <w:p>
      <w:pPr>
        <w:ind w:left="216" w:hanging="216"/>
      </w:pPr>
      <w:r>
        <w:t>6. Hacer seguimiento según criticidad. Ante atraso o interrupción, informar a Consultoría y Logística, evaluar alternativas y actualizar la promesa solo después de su aprobación.</w:t>
      </w:r>
    </w:p>
    <w:p>
      <w:pPr>
        <w:ind w:left="216" w:hanging="216"/>
      </w:pPr>
      <w:r>
        <w:t>7. Coordinar recepción y tratar diferencias con Calidad e Inventarios. Una recepción parcial debe mantener abierto el saldo; la factura no prueba por sí sola entrega conforme.</w:t>
      </w:r>
    </w:p>
    <w:p>
      <w:pPr>
        <w:ind w:left="216" w:hanging="216"/>
      </w:pPr>
      <w:r>
        <w:t>8. Evaluar resultados de calidad, cumplimiento y atención. Documentar clasificación, acciones y fecha de reevaluación; suspender nuevas asignaciones cuando el riesgo no pueda controlarse.</w:t>
      </w:r>
    </w:p>
    <w:p>
      <w:pPr>
        <w:pStyle w:val="Heading1"/>
      </w:pPr>
      <w:r>
        <w:t>Riesgos y respuesta operativa</w:t>
      </w:r>
    </w:p>
    <w:p>
      <w:pPr>
        <w:pStyle w:val="ListBullet"/>
      </w:pPr>
      <w:r>
        <w:t>Dependencia de un proveedor para un equipo crítico: mantener alternativa técnicamente revisada y un plan de respuesta. No aprobar sustituciones que alteren requisitos sin revisar el proyecto.</w:t>
      </w:r>
    </w:p>
    <w:p>
      <w:pPr>
        <w:pStyle w:val="ListBullet"/>
      </w:pPr>
      <w:r>
        <w:t>Proveedor con entregas repetidamente defectuosas: aumentar inspección, exigir acción correctiva y decidir continuidad con Calidad. La urgencia de una compra no elimina la evidencia del incumplimiento.</w:t>
      </w:r>
    </w:p>
    <w:p>
      <w:pPr>
        <w:pStyle w:val="Heading1"/>
      </w:pPr>
      <w:r>
        <w:t>Seguimiento del proceso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0"/>
        <w:gridCol w:w="2847"/>
        <w:gridCol w:w="2440"/>
        <w:gridCol w:w="2440"/>
      </w:tblGrid>
      <w:tr>
        <w:trPr>
          <w:tblHeader w:val="true"/>
          <w:cantSplit/>
        </w:trPr>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Indicador y cálculo</w:t>
            </w:r>
          </w:p>
        </w:tc>
        <w:tc>
          <w:tcPr>
            <w:tcW w:type="dxa" w:w="2847"/>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Meta interna</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Frecuencia</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Responsable</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Líneas recibidas conformes / líneas inspeccionadas × 100</w:t>
            </w:r>
          </w:p>
        </w:tc>
        <w:tc>
          <w:tcPr>
            <w:tcW w:type="dxa" w:w="284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≥97%</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Mensual</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Compras y Calidad</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Órdenes entregadas en fecha / órdenes vencidas del mes × 100</w:t>
            </w:r>
          </w:p>
        </w:tc>
        <w:tc>
          <w:tcPr>
            <w:tcW w:type="dxa" w:w="284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≥95%</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Mensual</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Daniela Suárez</w:t>
            </w:r>
          </w:p>
        </w:tc>
      </w:tr>
    </w:tbl>
    <w:p>
      <w:pPr>
        <w:spacing w:after="20" w:before="0" w:line="240" w:lineRule="auto"/>
      </w:pPr>
      <w:r>
        <w:rPr>
          <w:sz w:val="4"/>
        </w:rPr>
      </w:r>
    </w:p>
    <w:p>
      <w:pPr>
        <w:pStyle w:val="Heading1"/>
      </w:pPr>
      <w:r>
        <w:t>Recursos y registros</w:t>
      </w:r>
    </w:p>
    <w:p>
      <w:r>
        <w:t>Recursos: catálogo aprobado, matriz de proveedores y acceso a especificaciones controladas. Se conservan requisición, comparación, aprobaciones, orden, aceptación, recepción y evaluación. CC-RG-02 contiene la muestra diligenciada; CC-FO-02 documenta rechazos. Las reevaluaciones se vinculan al identificador del proveedor y no solo a su nombre comercial.</w:t>
      </w:r>
    </w:p>
    <w:p>
      <w:pPr>
        <w:pStyle w:val="Heading1"/>
      </w:pPr>
      <w:r>
        <w:t>Entrega y revisión del proceso</w:t>
      </w:r>
    </w:p>
    <w:p>
      <w:r>
        <w:t>Daniela cierra la orden cuando cantidades, condiciones y diferencias estén resueltas, con Finanzas informado de cualquier retención acordada. El universo de referencia es de 75 proveedores; este expediente no incorpora todas sus evaluaciones. Los resultados críticos se presentan a Dirección y alimentan la matriz de riesgos CC-MT-01 y las acciones de CC-PR-04.</w:t>
      </w:r>
    </w:p>
    <w:p>
      <w:pPr>
        <w:pStyle w:val="Heading1"/>
      </w:pPr>
      <w:r>
        <w:t>Documentos relacionados</w:t>
      </w:r>
    </w:p>
    <w:p>
      <w:r>
        <w:t>CC-CP-02 | CC-CP-04 | CC-CP-10 | CC-CP-11 | CC-CP-15 | CC-CP-16 | CC-RG-02 | CC-FO-02 | CC-MT-01 | CC-PR-04</w:t>
      </w:r>
    </w:p>
    <w:p>
      <w:pPr>
        <w:pStyle w:val="Heading1"/>
      </w:pPr>
      <w:r>
        <w:t>Historial de cambios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43"/>
        <w:gridCol w:w="4270"/>
        <w:gridCol w:w="3253"/>
      </w:tblGrid>
      <w:tr>
        <w:trPr>
          <w:tblHeader w:val="true"/>
          <w:cantSplit/>
        </w:trPr>
        <w:tc>
          <w:tcPr>
            <w:tcW w:type="dxa" w:w="264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Revisión</w:t>
            </w:r>
          </w:p>
        </w:tc>
        <w:tc>
          <w:tcPr>
            <w:tcW w:type="dxa" w:w="427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Fecha</w:t>
            </w:r>
          </w:p>
        </w:tc>
        <w:tc>
          <w:tcPr>
            <w:tcW w:type="dxa" w:w="325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Cambio registrado</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06</w:t>
            </w:r>
          </w:p>
        </w:tc>
        <w:tc>
          <w:tcPr>
            <w:tcW w:type="dxa" w:w="4270"/>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2025-08-11</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Se exige aprobación técnica de sustituciones y revisión del saldo en recepciones parciales.</w:t>
            </w:r>
          </w:p>
        </w:tc>
      </w:tr>
    </w:tbl>
    <w:p>
      <w:pPr>
        <w:spacing w:after="20" w:before="0" w:line="240" w:lineRule="auto"/>
      </w:pPr>
      <w:r>
        <w:rPr>
          <w:sz w:val="4"/>
        </w:rPr>
      </w:r>
    </w:p>
    <w:p>
      <w:r>
        <w:br w:type="page"/>
      </w:r>
    </w:p>
    <w:p>
      <w:pPr>
        <w:pStyle w:val="Title"/>
      </w:pPr>
      <w:r>
        <w:t>Despacho transporte y entrega</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0"/>
        <w:gridCol w:w="2847"/>
        <w:gridCol w:w="2440"/>
        <w:gridCol w:w="2440"/>
      </w:tblGrid>
      <w:tr>
        <w:trPr>
          <w:tblHeader w:val="true"/>
          <w:cantSplit/>
        </w:trPr>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Código</w:t>
            </w:r>
          </w:p>
        </w:tc>
        <w:tc>
          <w:tcPr>
            <w:tcW w:type="dxa" w:w="2847"/>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Revisión</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Emisión</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Estado</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CC-CP-10</w:t>
            </w:r>
          </w:p>
        </w:tc>
        <w:tc>
          <w:tcPr>
            <w:tcW w:type="dxa" w:w="284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04</w:t>
            </w:r>
          </w:p>
        </w:tc>
        <w:tc>
          <w:tcPr>
            <w:tcW w:type="dxa" w:w="2440"/>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2025-09-01</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Vigente</w:t>
            </w:r>
          </w:p>
        </w:tc>
      </w:tr>
    </w:tbl>
    <w:p>
      <w:pPr>
        <w:spacing w:after="20" w:before="0" w:line="240" w:lineRule="auto"/>
      </w:pPr>
      <w:r>
        <w:rPr>
          <w:sz w:val="4"/>
        </w:rPr>
      </w:r>
    </w:p>
    <w:p>
      <w:pPr>
        <w:spacing w:after="60"/>
      </w:pPr>
      <w:r>
        <w:rPr>
          <w:b/>
        </w:rPr>
        <w:t xml:space="preserve">Tipo y área: </w:t>
      </w:r>
      <w:r>
        <w:t>Caracterización de proceso | Logística</w:t>
      </w:r>
    </w:p>
    <w:p>
      <w:pPr>
        <w:spacing w:after="60"/>
      </w:pPr>
      <w:r>
        <w:rPr>
          <w:b/>
        </w:rPr>
        <w:t xml:space="preserve">Responsable: </w:t>
      </w:r>
      <w:r>
        <w:t>Felipe Ospina</w:t>
      </w:r>
    </w:p>
    <w:p>
      <w:pPr>
        <w:spacing w:after="60"/>
      </w:pPr>
      <w:r>
        <w:rPr>
          <w:b/>
        </w:rPr>
        <w:t xml:space="preserve">Aprobación interna: </w:t>
      </w:r>
      <w:r>
        <w:t>Valentina Ríos</w:t>
      </w:r>
    </w:p>
    <w:p>
      <w:pPr>
        <w:spacing w:before="100"/>
      </w:pPr>
      <w:r>
        <w:t>Logística preserva la conformidad del producto entre su liberación en bodega y la recepción del destinatario. Cada despacho debe poder reconstruirse por orden, unidades, seriales o lotes, transportador y evidencia de entrega.</w:t>
      </w:r>
    </w:p>
    <w:p>
      <w:r>
        <w:rPr>
          <w:sz w:val="18"/>
        </w:rPr>
        <w:t>Referencia temática ISO 9001:2015: 4.4, 8.5.1, 8.5.4, 8.6.</w:t>
      </w:r>
    </w:p>
    <w:p>
      <w:pPr>
        <w:pStyle w:val="Heading1"/>
      </w:pPr>
      <w:r>
        <w:t>Propósito y alcance</w:t>
      </w:r>
    </w:p>
    <w:p>
      <w:r>
        <w:t>Cubre planificación de rutas, preparación de despacho, embalaje, asignación de transporte, seguimiento y gestión de novedades en Colombia. Incluye transferencias entre sedes y entregas a proyectos B2B. La programación considera acceso al sitio, peso, fragilidad y condiciones pactadas. La salida física no equivale a aceptación por el cliente, y una entrega parcial no cierra el pedido completo.</w:t>
      </w:r>
    </w:p>
    <w:p>
      <w:pPr>
        <w:pStyle w:val="Heading1"/>
      </w:pPr>
      <w:r>
        <w:t>Entradas resultados e interacciones</w:t>
      </w:r>
    </w:p>
    <w:p>
      <w:r>
        <w:t>Entradas: orden liberada, reserva de Inventarios, datos de receptor, promesa aceptada y restricciones de instalación. Finanzas o Ventas confirman las condiciones comerciales que habilitan despacho.</w:t>
      </w:r>
    </w:p>
    <w:p>
      <w:r>
        <w:t>Resultados: manifiesto de salida, guía, trazabilidad de recorrido y constancia de entrega o novedad. Inventarios recibe la confirmación de salida; Montaje recibe la disponibilidad en sitio; Servicio al cliente informa al comprador y coordina soluciones.</w:t>
      </w:r>
    </w:p>
    <w:p>
      <w:pPr>
        <w:pStyle w:val="Heading1"/>
      </w:pPr>
      <w:r>
        <w:t>Responsables y autoridad</w:t>
      </w:r>
    </w:p>
    <w:p>
      <w:r>
        <w:t>Felipe Ospina asigna transportador y prioriza rutas según compromiso y riesgo. Inventarios valida contenido; el despachador comprueba empaque y documentación. El transportador registra custodia y novedades. Calidad decide si un daño requiere inmovilización. Solo el responsable autorizado puede modificar una promesa al cliente, dejando el motivo y la nueva aceptación.</w:t>
      </w:r>
    </w:p>
    <w:p>
      <w:pPr>
        <w:pStyle w:val="Heading1"/>
      </w:pPr>
      <w:r>
        <w:t>Actividades y controles</w:t>
      </w:r>
    </w:p>
    <w:p>
      <w:pPr>
        <w:ind w:left="216" w:hanging="216"/>
      </w:pPr>
      <w:r>
        <w:t>1. Consolidar órdenes listas y verificar condición de despacho. Confirmar dirección, receptor, horario, acceso y si la entrega necesita medios especiales o coordinación con Montaje.</w:t>
      </w:r>
    </w:p>
    <w:p>
      <w:pPr>
        <w:ind w:left="216" w:hanging="216"/>
      </w:pPr>
      <w:r>
        <w:t>2. Solicitar preparación a Inventarios e identificar pedido, SKU y serial o lote. Revisar cantidades con una segunda comprobación antes de sellar embalajes de equipos.</w:t>
      </w:r>
    </w:p>
    <w:p>
      <w:pPr>
        <w:ind w:left="216" w:hanging="216"/>
      </w:pPr>
      <w:r>
        <w:t>3. Inspeccionar protección, orientación y etiquetas. Documentar daño previo; una unidad en cuarentena o sin liberación no puede incluirse para completar una ruta.</w:t>
      </w:r>
    </w:p>
    <w:p>
      <w:pPr>
        <w:ind w:left="216" w:hanging="216"/>
      </w:pPr>
      <w:r>
        <w:t>4. Asignar transportador autorizado y transmitir requisitos de custodia. Registrar bultos, peso cuando sea pertinente, fecha comprometida y medio para reportar incidentes.</w:t>
      </w:r>
    </w:p>
    <w:p>
      <w:pPr>
        <w:ind w:left="216" w:hanging="216"/>
      </w:pPr>
      <w:r>
        <w:t>5. Formalizar la salida con responsable y hora. Mantener vínculo entre orden, guía y unidades; una transferencia entre sedes conserva la trazabilidad hasta recepción.</w:t>
      </w:r>
    </w:p>
    <w:p>
      <w:pPr>
        <w:ind w:left="216" w:hanging="216"/>
      </w:pPr>
      <w:r>
        <w:t>6. Monitorear la ruta y registrar novedad en cuanto se conozca. Ante bloqueo vial o clima adverso, evaluar alternativa y comunicar una fecha razonable al área comercial.</w:t>
      </w:r>
    </w:p>
    <w:p>
      <w:pPr>
        <w:ind w:left="216" w:hanging="216"/>
      </w:pPr>
      <w:r>
        <w:t>7. Obtener constancia de entrega con fecha, receptor y condición de los bultos. Las faltas, daños o rechazos se describen en el mismo registro, sin borrar la primera observación.</w:t>
      </w:r>
    </w:p>
    <w:p>
      <w:pPr>
        <w:ind w:left="216" w:hanging="216"/>
      </w:pPr>
      <w:r>
        <w:t>8. Conciliar guías pendientes y gestionar retornos con Inventarios y Calidad. Actualizar la orden por cantidades realmente recibidas; cerrar la novedad cuando exista evidencia de solución.</w:t>
      </w:r>
    </w:p>
    <w:p>
      <w:pPr>
        <w:pStyle w:val="Heading1"/>
      </w:pPr>
      <w:r>
        <w:t>Riesgos y respuesta operativa</w:t>
      </w:r>
    </w:p>
    <w:p>
      <w:pPr>
        <w:pStyle w:val="ListBullet"/>
      </w:pPr>
      <w:r>
        <w:t>Daño en transporte de equipos: elegir embalaje y manipulación según fragilidad, verificar estado en salida y recepción y conservar evidencias para decidir reposición o reparación.</w:t>
      </w:r>
    </w:p>
    <w:p>
      <w:pPr>
        <w:pStyle w:val="ListBullet"/>
      </w:pPr>
      <w:r>
        <w:t>Atraso por clima o acceso al local: revisar restricciones antes de programar, coordinar ventanas alternativas y comunicar la contingencia. El riesgo alimenta CC-MT-01 sin alterar fechas históricas.</w:t>
      </w:r>
    </w:p>
    <w:p>
      <w:pPr>
        <w:pStyle w:val="Heading1"/>
      </w:pPr>
      <w:r>
        <w:t>Seguimiento del proceso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0"/>
        <w:gridCol w:w="2847"/>
        <w:gridCol w:w="2440"/>
        <w:gridCol w:w="2440"/>
      </w:tblGrid>
      <w:tr>
        <w:trPr>
          <w:tblHeader w:val="true"/>
          <w:cantSplit/>
        </w:trPr>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Indicador y cálculo</w:t>
            </w:r>
          </w:p>
        </w:tc>
        <w:tc>
          <w:tcPr>
            <w:tcW w:type="dxa" w:w="2847"/>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Meta interna</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Frecuencia</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Responsable</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Entregas en fecha acordada / entregas con vencimiento en el período × 100</w:t>
            </w:r>
          </w:p>
        </w:tc>
        <w:tc>
          <w:tcPr>
            <w:tcW w:type="dxa" w:w="284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≥95%</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Mensual</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Felipe Ospina</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Entregas con evidencia completa / entregas realizadas × 100</w:t>
            </w:r>
          </w:p>
        </w:tc>
        <w:tc>
          <w:tcPr>
            <w:tcW w:type="dxa" w:w="284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100%</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Semanal</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Logística</w:t>
            </w:r>
          </w:p>
        </w:tc>
      </w:tr>
    </w:tbl>
    <w:p>
      <w:pPr>
        <w:spacing w:after="20" w:before="0" w:line="240" w:lineRule="auto"/>
      </w:pPr>
      <w:r>
        <w:rPr>
          <w:sz w:val="4"/>
        </w:rPr>
      </w:r>
    </w:p>
    <w:p>
      <w:pPr>
        <w:pStyle w:val="Heading1"/>
      </w:pPr>
      <w:r>
        <w:t>Recursos y registros</w:t>
      </w:r>
    </w:p>
    <w:p>
      <w:r>
        <w:t>Se requieren bodega de despacho, embalajes apropiados, transportadores evaluados y registro de seguimiento. Se conservan orden, lista de bultos, revisión de empaque, guía, novedades y recepción. CC-RG-02 muestra la cadena del proyecto PRJ-005; las no conformidades se documentan en CC-FO-02 y se tratan con CC-PR-04.</w:t>
      </w:r>
    </w:p>
    <w:p>
      <w:pPr>
        <w:pStyle w:val="Heading1"/>
      </w:pPr>
      <w:r>
        <w:t>Entrega y revisión del proceso</w:t>
      </w:r>
    </w:p>
    <w:p>
      <w:r>
        <w:t>El resultado anual de referencia para 2025 es 92% de entregas puntuales, por debajo de la meta del proceso. Felipe presenta las causas y acciones mensuales, separando promesa original y reprogramación para evitar mejorar artificialmente el indicador. La entrega a Montaje exige confirmación del contenido y del estado; una guía firmada sin esa comprobación deja un pendiente visible.</w:t>
      </w:r>
    </w:p>
    <w:p>
      <w:pPr>
        <w:pStyle w:val="Heading1"/>
      </w:pPr>
      <w:r>
        <w:t>Documentos relacionados</w:t>
      </w:r>
    </w:p>
    <w:p>
      <w:r>
        <w:t>CC-CP-02 | CC-CP-09 | CC-CP-11 | CC-CP-12 | CC-CP-13 | CC-CP-16 | CC-RG-02 | CC-FO-02 | CC-PR-04 | CC-MT-01</w:t>
      </w:r>
    </w:p>
    <w:p>
      <w:pPr>
        <w:pStyle w:val="Heading1"/>
      </w:pPr>
      <w:r>
        <w:t>Historial de cambios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43"/>
        <w:gridCol w:w="4270"/>
        <w:gridCol w:w="3253"/>
      </w:tblGrid>
      <w:tr>
        <w:trPr>
          <w:tblHeader w:val="true"/>
          <w:cantSplit/>
        </w:trPr>
        <w:tc>
          <w:tcPr>
            <w:tcW w:type="dxa" w:w="264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Revisión</w:t>
            </w:r>
          </w:p>
        </w:tc>
        <w:tc>
          <w:tcPr>
            <w:tcW w:type="dxa" w:w="427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Fecha</w:t>
            </w:r>
          </w:p>
        </w:tc>
        <w:tc>
          <w:tcPr>
            <w:tcW w:type="dxa" w:w="325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Cambio registrado</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04</w:t>
            </w:r>
          </w:p>
        </w:tc>
        <w:tc>
          <w:tcPr>
            <w:tcW w:type="dxa" w:w="4270"/>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2025-09-01</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Se conserva la promesa original para calcular cumplimiento de entrega.</w:t>
            </w:r>
          </w:p>
        </w:tc>
      </w:tr>
    </w:tbl>
    <w:p>
      <w:pPr>
        <w:spacing w:after="20" w:before="0" w:line="240" w:lineRule="auto"/>
      </w:pPr>
      <w:r>
        <w:rPr>
          <w:sz w:val="4"/>
        </w:rPr>
      </w:r>
    </w:p>
    <w:p>
      <w:r>
        <w:br w:type="page"/>
      </w:r>
    </w:p>
    <w:p>
      <w:pPr>
        <w:pStyle w:val="Title"/>
      </w:pPr>
      <w:r>
        <w:t>Recepción almacenamiento y control de inventario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0"/>
        <w:gridCol w:w="2847"/>
        <w:gridCol w:w="2440"/>
        <w:gridCol w:w="2440"/>
      </w:tblGrid>
      <w:tr>
        <w:trPr>
          <w:tblHeader w:val="true"/>
          <w:cantSplit/>
        </w:trPr>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Código</w:t>
            </w:r>
          </w:p>
        </w:tc>
        <w:tc>
          <w:tcPr>
            <w:tcW w:type="dxa" w:w="2847"/>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Revisión</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Emisión</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Estado</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CC-CP-11</w:t>
            </w:r>
          </w:p>
        </w:tc>
        <w:tc>
          <w:tcPr>
            <w:tcW w:type="dxa" w:w="284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05</w:t>
            </w:r>
          </w:p>
        </w:tc>
        <w:tc>
          <w:tcPr>
            <w:tcW w:type="dxa" w:w="2440"/>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2025-08-18</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Vigente</w:t>
            </w:r>
          </w:p>
        </w:tc>
      </w:tr>
    </w:tbl>
    <w:p>
      <w:pPr>
        <w:spacing w:after="20" w:before="0" w:line="240" w:lineRule="auto"/>
      </w:pPr>
      <w:r>
        <w:rPr>
          <w:sz w:val="4"/>
        </w:rPr>
      </w:r>
    </w:p>
    <w:p>
      <w:pPr>
        <w:spacing w:after="60"/>
      </w:pPr>
      <w:r>
        <w:rPr>
          <w:b/>
        </w:rPr>
        <w:t xml:space="preserve">Tipo y área: </w:t>
      </w:r>
      <w:r>
        <w:t>Caracterización de proceso | Inventarios</w:t>
      </w:r>
    </w:p>
    <w:p>
      <w:pPr>
        <w:spacing w:after="60"/>
      </w:pPr>
      <w:r>
        <w:rPr>
          <w:b/>
        </w:rPr>
        <w:t xml:space="preserve">Responsable: </w:t>
      </w:r>
      <w:r>
        <w:t>Paola Cárdenas</w:t>
      </w:r>
    </w:p>
    <w:p>
      <w:pPr>
        <w:spacing w:after="60"/>
      </w:pPr>
      <w:r>
        <w:rPr>
          <w:b/>
        </w:rPr>
        <w:t xml:space="preserve">Aprobación interna: </w:t>
      </w:r>
      <w:r>
        <w:t>Valentina Ríos</w:t>
      </w:r>
    </w:p>
    <w:p>
      <w:pPr>
        <w:spacing w:before="100"/>
      </w:pPr>
      <w:r>
        <w:t>Inventarios mantiene la identidad, condición y disponibilidad de los productos bajo custodia de Company Co. La existencia contable debe corresponder con ubicación y estado físico, distinguiendo unidades disponibles, reservadas, en revisión y no conformes.</w:t>
      </w:r>
    </w:p>
    <w:p>
      <w:r>
        <w:rPr>
          <w:sz w:val="18"/>
        </w:rPr>
        <w:t>Referencia temática ISO 9001:2015: 4.4, 8.5.2, 8.5.4, 8.6, 8.7.</w:t>
      </w:r>
    </w:p>
    <w:p>
      <w:pPr>
        <w:pStyle w:val="Heading1"/>
      </w:pPr>
      <w:r>
        <w:t>Propósito y alcance</w:t>
      </w:r>
    </w:p>
    <w:p>
      <w:r>
        <w:t>Aplica a recepción, almacenamiento, conservación, conteos, reservas, transferencias y preparación de pedidos en bodega y showrooms. Incluye equipos serializados y lotes de café e insumos cuando corresponda. El proceso no autoriza dar de baja diferencias sin análisis ni vender productos retenidos. Las unidades de demostración y las devoluciones se identifican por separado para no confundirlas con inventario nuevo.</w:t>
      </w:r>
    </w:p>
    <w:p>
      <w:pPr>
        <w:pStyle w:val="Heading1"/>
      </w:pPr>
      <w:r>
        <w:t>Entradas resultados e interacciones</w:t>
      </w:r>
    </w:p>
    <w:p>
      <w:r>
        <w:t>Entradas: orden de compra, documentos de transporte, especificación y requisitos de inspección. Compras comunica cambios autorizados; Calidad define verificación adicional para suministros críticos o proveedores condicionados.</w:t>
      </w:r>
    </w:p>
    <w:p>
      <w:r>
        <w:t>Resultados: recepción conforme o retenida, ubicación, saldo por estado y entrega preparada. Ventas y E-commerce consultan disponibilidad; Logística recibe cantidades verificadas. Los ejemplos de orden, recepción y entrega se relacionan en CC-RG-02.</w:t>
      </w:r>
    </w:p>
    <w:p>
      <w:pPr>
        <w:pStyle w:val="Heading1"/>
      </w:pPr>
      <w:r>
        <w:t>Responsables y autoridad</w:t>
      </w:r>
    </w:p>
    <w:p>
      <w:r>
        <w:t>Paola Cárdenas controla ubicaciones, conteos y ajustes. El receptor verifica contra orden y entrega; Calidad decide disposición cuando el producto falla. Compras resuelve diferencias con el proveedor. Finanzas concilia el efecto económico de ajustes autorizados. La misma persona no aprueba por sí sola una diferencia que detectó y registró.</w:t>
      </w:r>
    </w:p>
    <w:p>
      <w:pPr>
        <w:pStyle w:val="Heading1"/>
      </w:pPr>
      <w:r>
        <w:t>Actividades y controles</w:t>
      </w:r>
    </w:p>
    <w:p>
      <w:pPr>
        <w:ind w:left="216" w:hanging="216"/>
      </w:pPr>
      <w:r>
        <w:t>1. Programar la recepción y comprobar la orden vigente. Confirmar que las cantidades y la identificación coincidan con los documentos; registrar sobrantes, faltantes y entregas parciales.</w:t>
      </w:r>
    </w:p>
    <w:p>
      <w:pPr>
        <w:ind w:left="216" w:hanging="216"/>
      </w:pPr>
      <w:r>
        <w:t>2. Inspeccionar empaque, accesorios e identificación. Registrar seriales o lotes cuando aplican y ejecutar el control adicional definido; retener físicamente lo que no pueda liberarse.</w:t>
      </w:r>
    </w:p>
    <w:p>
      <w:pPr>
        <w:ind w:left="216" w:hanging="216"/>
      </w:pPr>
      <w:r>
        <w:t>3. Asignar ubicación y estado antes de actualizar disponibilidad. Etiquetar la mercancía retenida con motivo y responsable, evitando su selección accidental para un pedido.</w:t>
      </w:r>
    </w:p>
    <w:p>
      <w:pPr>
        <w:ind w:left="216" w:hanging="216"/>
      </w:pPr>
      <w:r>
        <w:t>4. Almacenar conforme a condiciones del producto y proteger frente a humedad, golpes o contaminación. Para consumibles con vencimiento, aplicar salida por fecha de expiración más próxima.</w:t>
      </w:r>
    </w:p>
    <w:p>
      <w:pPr>
        <w:ind w:left="216" w:hanging="216"/>
      </w:pPr>
      <w:r>
        <w:t>5. Reservar por pedido y evitar doble asignación. Revisar reservas vencidas con Ventas; una cancelación requiere liberación trazable y no el borrado del historial.</w:t>
      </w:r>
    </w:p>
    <w:p>
      <w:pPr>
        <w:ind w:left="216" w:hanging="216"/>
      </w:pPr>
      <w:r>
        <w:t>6. Preparar la entrega usando identificación y cantidad de la orden. Verificar serial o lote, accesorios y condición; documentar la transferencia de custodia a Logística.</w:t>
      </w:r>
    </w:p>
    <w:p>
      <w:pPr>
        <w:ind w:left="216" w:hanging="216"/>
      </w:pPr>
      <w:r>
        <w:t>7. Realizar conteos cíclicos por criticidad y rotación. Investigar diferencias mediante movimientos y documentos; pedir autorización del ajuste antes de modificar el saldo.</w:t>
      </w:r>
    </w:p>
    <w:p>
      <w:pPr>
        <w:ind w:left="216" w:hanging="216"/>
      </w:pPr>
      <w:r>
        <w:t>8. Recibir devoluciones en zona diferenciada. Vincular orden de origen y estado, solicitar decisión de Calidad y mantener bloqueada la venta hasta completar la evaluación.</w:t>
      </w:r>
    </w:p>
    <w:p>
      <w:pPr>
        <w:pStyle w:val="Heading1"/>
      </w:pPr>
      <w:r>
        <w:t>Riesgos y respuesta operativa</w:t>
      </w:r>
    </w:p>
    <w:p>
      <w:pPr>
        <w:pStyle w:val="ListBullet"/>
      </w:pPr>
      <w:r>
        <w:t>Confusión entre producto disponible y retenido: identificación visible, segregación y bloqueo en el sistema. La liberación exige responsable autorizado y evidencia del criterio satisfecho.</w:t>
      </w:r>
    </w:p>
    <w:p>
      <w:pPr>
        <w:pStyle w:val="ListBullet"/>
      </w:pPr>
      <w:r>
        <w:t>Diferencia de existencias que genera sobreventa: conteos cíclicos y revisión de reservas. Ante discrepancia, restringir el SKU afectado y verificar pedidos comprometidos antes de reabrir disponibilidad.</w:t>
      </w:r>
    </w:p>
    <w:p>
      <w:pPr>
        <w:pStyle w:val="Heading1"/>
      </w:pPr>
      <w:r>
        <w:t>Seguimiento del proceso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0"/>
        <w:gridCol w:w="2847"/>
        <w:gridCol w:w="2440"/>
        <w:gridCol w:w="2440"/>
      </w:tblGrid>
      <w:tr>
        <w:trPr>
          <w:tblHeader w:val="true"/>
          <w:cantSplit/>
        </w:trPr>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Indicador y cálculo</w:t>
            </w:r>
          </w:p>
        </w:tc>
        <w:tc>
          <w:tcPr>
            <w:tcW w:type="dxa" w:w="2847"/>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Meta interna</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Frecuencia</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Responsable</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Referencias sin diferencia / referencias contadas × 100</w:t>
            </w:r>
          </w:p>
        </w:tc>
        <w:tc>
          <w:tcPr>
            <w:tcW w:type="dxa" w:w="284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≥98%</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Mensual</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Paola Cárdenas</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Recepciones con trazabilidad completa / recepciones revisadas × 100</w:t>
            </w:r>
          </w:p>
        </w:tc>
        <w:tc>
          <w:tcPr>
            <w:tcW w:type="dxa" w:w="284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100%</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Semanal</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Inventarios</w:t>
            </w:r>
          </w:p>
        </w:tc>
      </w:tr>
    </w:tbl>
    <w:p>
      <w:pPr>
        <w:spacing w:after="20" w:before="0" w:line="240" w:lineRule="auto"/>
      </w:pPr>
      <w:r>
        <w:rPr>
          <w:sz w:val="4"/>
        </w:rPr>
      </w:r>
    </w:p>
    <w:p>
      <w:pPr>
        <w:pStyle w:val="Heading1"/>
      </w:pPr>
      <w:r>
        <w:t>Recursos y registros</w:t>
      </w:r>
    </w:p>
    <w:p>
      <w:r>
        <w:t>El proceso requiere ubicaciones señalizadas, elementos de conservación, equipos de movimiento adecuados y un sistema de stock con usuarios identificados. Registros: recepción, inspección, lotes, seriales, movimientos, conteos y ajustes. CC-FO-02 recoge no conformidades; CC-RG-02 aporta registros diligenciados. La documentación se conserva según CC-PR-01.</w:t>
      </w:r>
    </w:p>
    <w:p>
      <w:pPr>
        <w:pStyle w:val="Heading1"/>
      </w:pPr>
      <w:r>
        <w:t>Entrega y revisión del proceso</w:t>
      </w:r>
    </w:p>
    <w:p>
      <w:r>
        <w:t>Paola entrega disponibilidad confirmada a los canales comerciales y una lista de diferencias abiertas a Compras y Finanzas. El catálogo de referencia comprende 1.200 SKU activos; los seis SKU de muestra no representan todo ese universo. Mensualmente se revisan pérdidas, retenciones envejecidas y errores repetidos para priorizar mejoras sin ocultar movimientos históricos.</w:t>
      </w:r>
    </w:p>
    <w:p>
      <w:pPr>
        <w:pStyle w:val="Heading1"/>
      </w:pPr>
      <w:r>
        <w:t>Documentos relacionados</w:t>
      </w:r>
    </w:p>
    <w:p>
      <w:r>
        <w:t>CC-CP-02 | CC-CP-05 | CC-CP-08 | CC-CP-09 | CC-CP-10 | CC-CP-16 | CC-RG-02 | CC-FO-02 | CC-PR-01</w:t>
      </w:r>
    </w:p>
    <w:p>
      <w:pPr>
        <w:pStyle w:val="Heading1"/>
      </w:pPr>
      <w:r>
        <w:t>Historial de cambios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43"/>
        <w:gridCol w:w="4270"/>
        <w:gridCol w:w="3253"/>
      </w:tblGrid>
      <w:tr>
        <w:trPr>
          <w:tblHeader w:val="true"/>
          <w:cantSplit/>
        </w:trPr>
        <w:tc>
          <w:tcPr>
            <w:tcW w:type="dxa" w:w="264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Revisión</w:t>
            </w:r>
          </w:p>
        </w:tc>
        <w:tc>
          <w:tcPr>
            <w:tcW w:type="dxa" w:w="427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Fecha</w:t>
            </w:r>
          </w:p>
        </w:tc>
        <w:tc>
          <w:tcPr>
            <w:tcW w:type="dxa" w:w="325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Cambio registrado</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05</w:t>
            </w:r>
          </w:p>
        </w:tc>
        <w:tc>
          <w:tcPr>
            <w:tcW w:type="dxa" w:w="4270"/>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2025-08-18</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Se separa explícitamente el inventario devuelto y el usado para demostración.</w:t>
            </w:r>
          </w:p>
        </w:tc>
      </w:tr>
    </w:tbl>
    <w:p>
      <w:pPr>
        <w:spacing w:after="20" w:before="0" w:line="240" w:lineRule="auto"/>
      </w:pPr>
      <w:r>
        <w:rPr>
          <w:sz w:val="4"/>
        </w:rPr>
      </w:r>
    </w:p>
    <w:p>
      <w:r>
        <w:br w:type="page"/>
      </w:r>
    </w:p>
    <w:p>
      <w:pPr>
        <w:pStyle w:val="Title"/>
      </w:pPr>
      <w:r>
        <w:t>Montaje puesta en servicio y entrega técnica</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0"/>
        <w:gridCol w:w="2847"/>
        <w:gridCol w:w="2440"/>
        <w:gridCol w:w="2440"/>
      </w:tblGrid>
      <w:tr>
        <w:trPr>
          <w:tblHeader w:val="true"/>
          <w:cantSplit/>
        </w:trPr>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Código</w:t>
            </w:r>
          </w:p>
        </w:tc>
        <w:tc>
          <w:tcPr>
            <w:tcW w:type="dxa" w:w="2847"/>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Revisión</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Emisión</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Estado</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CC-CP-12</w:t>
            </w:r>
          </w:p>
        </w:tc>
        <w:tc>
          <w:tcPr>
            <w:tcW w:type="dxa" w:w="284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04</w:t>
            </w:r>
          </w:p>
        </w:tc>
        <w:tc>
          <w:tcPr>
            <w:tcW w:type="dxa" w:w="2440"/>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2025-09-08</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Vigente</w:t>
            </w:r>
          </w:p>
        </w:tc>
      </w:tr>
    </w:tbl>
    <w:p>
      <w:pPr>
        <w:spacing w:after="20" w:before="0" w:line="240" w:lineRule="auto"/>
      </w:pPr>
      <w:r>
        <w:rPr>
          <w:sz w:val="4"/>
        </w:rPr>
      </w:r>
    </w:p>
    <w:p>
      <w:pPr>
        <w:spacing w:after="60"/>
      </w:pPr>
      <w:r>
        <w:rPr>
          <w:b/>
        </w:rPr>
        <w:t xml:space="preserve">Tipo y área: </w:t>
      </w:r>
      <w:r>
        <w:t>Caracterización de proceso | Montaje</w:t>
      </w:r>
    </w:p>
    <w:p>
      <w:pPr>
        <w:spacing w:after="60"/>
      </w:pPr>
      <w:r>
        <w:rPr>
          <w:b/>
        </w:rPr>
        <w:t xml:space="preserve">Responsable: </w:t>
      </w:r>
      <w:r>
        <w:t>Óscar Benítez</w:t>
      </w:r>
    </w:p>
    <w:p>
      <w:pPr>
        <w:spacing w:after="60"/>
      </w:pPr>
      <w:r>
        <w:rPr>
          <w:b/>
        </w:rPr>
        <w:t xml:space="preserve">Aprobación interna: </w:t>
      </w:r>
      <w:r>
        <w:t>Valentina Ríos</w:t>
      </w:r>
    </w:p>
    <w:p>
      <w:pPr>
        <w:spacing w:before="100"/>
      </w:pPr>
      <w:r>
        <w:t>Montaje transforma el diseño aprobado y los suministros liberados en una cafetería lista para la aceptación acordada. La entrega técnica exige comprobaciones registradas, personal competente y tratamiento visible de los pendientes.</w:t>
      </w:r>
    </w:p>
    <w:p>
      <w:r>
        <w:rPr>
          <w:sz w:val="18"/>
        </w:rPr>
        <w:t>Referencia temática ISO 9001:2015: 4.4, 8.5.1, 8.5.2, 8.5.6, 8.6.</w:t>
      </w:r>
    </w:p>
    <w:p>
      <w:pPr>
        <w:pStyle w:val="Heading1"/>
      </w:pPr>
      <w:r>
        <w:t>Propósito y alcance</w:t>
      </w:r>
    </w:p>
    <w:p>
      <w:r>
        <w:t>Cubre planificación de instalación, recepción en sitio, ejecución, pruebas funcionales, formación inicial y traspaso a posventa. Se limita al alcance contratado y a las competencias del personal asignado. Las condiciones técnicas específicas se toman del fabricante y del diseño autorizado; esta caracterización no reemplaza instrucciones de seguridad ni habilita trabajos para los que se requiera un especialista.</w:t>
      </w:r>
    </w:p>
    <w:p>
      <w:pPr>
        <w:pStyle w:val="Heading1"/>
      </w:pPr>
      <w:r>
        <w:t>Entradas resultados e interacciones</w:t>
      </w:r>
    </w:p>
    <w:p>
      <w:r>
        <w:t>Entradas: planos y especificaciones vigentes, plan de montaje, equipos recibidos, condiciones del local y criterios de aceptación. Consultoría confirma hitos; Diseño resuelve consultas; Logística verifica unidades entregadas.</w:t>
      </w:r>
    </w:p>
    <w:p>
      <w:r>
        <w:t>Resultados: instalación identificada, pruebas registradas, pendientes clasificados y entrega técnica al cliente. Calidad valida la liberación aplicable y Servicio al cliente recibe datos de garantía, orientación y futuras intervenciones. La muestra PRJ-005 se presenta en CC-RG-03.</w:t>
      </w:r>
    </w:p>
    <w:p>
      <w:pPr>
        <w:pStyle w:val="Heading1"/>
      </w:pPr>
      <w:r>
        <w:t>Responsables y autoridad</w:t>
      </w:r>
    </w:p>
    <w:p>
      <w:r>
        <w:t>Óscar Benítez asigna instaladores competentes y verifica que existan condiciones de inicio. El jefe de frente mantiene el registro diario y detiene actividades inseguras o técnicamente inviables. Isabel Restrepo aprueba variaciones de diseño; Calidad revisa evidencia de liberación. El representante del cliente acepta los entregables dentro de su autoridad documentada.</w:t>
      </w:r>
    </w:p>
    <w:p>
      <w:pPr>
        <w:pStyle w:val="Heading1"/>
      </w:pPr>
      <w:r>
        <w:t>Actividades y controles</w:t>
      </w:r>
    </w:p>
    <w:p>
      <w:pPr>
        <w:ind w:left="216" w:hanging="216"/>
      </w:pPr>
      <w:r>
        <w:t>1. Revisar el paquete técnico antes de movilizar personal. Confirmar revisión de planos, equipos, herramientas, competencias, accesos, horarios y dependencias a cargo del cliente.</w:t>
      </w:r>
    </w:p>
    <w:p>
      <w:pPr>
        <w:ind w:left="216" w:hanging="216"/>
      </w:pPr>
      <w:r>
        <w:t>2. Recibir el sitio y los suministros contra la lista prevista. Registrar daños, faltantes y condiciones que impidan iniciar; no ocultar restricciones para cumplir una fecha de arranque.</w:t>
      </w:r>
    </w:p>
    <w:p>
      <w:pPr>
        <w:ind w:left="216" w:hanging="216"/>
      </w:pPr>
      <w:r>
        <w:t>3. Verificar servicios e interfaces con personal competente y según las instrucciones aplicables. Una diferencia respecto del diseño requiere consulta y decisión antes de conectar equipos.</w:t>
      </w:r>
    </w:p>
    <w:p>
      <w:pPr>
        <w:ind w:left="216" w:hanging="216"/>
      </w:pPr>
      <w:r>
        <w:t>4. Ejecutar el montaje por secuencia aprobada. Registrar modelo, serial, ubicación y responsable; proteger bienes del cliente y los productos todavía no instalados.</w:t>
      </w:r>
    </w:p>
    <w:p>
      <w:pPr>
        <w:ind w:left="216" w:hanging="216"/>
      </w:pPr>
      <w:r>
        <w:t>5. Solicitar cualquier modificación mediante CC-FO-01. Explicar motivo, efecto técnico, plazo y costo; conservar la autorización y comunicarla a Consultoría y Ventas.</w:t>
      </w:r>
    </w:p>
    <w:p>
      <w:pPr>
        <w:ind w:left="216" w:hanging="216"/>
      </w:pPr>
      <w:r>
        <w:t>6. Realizar pruebas de funcionamiento con criterios definidos y equipos de seguimiento aptos. Registrar resultados medidos, responsable y desviaciones; no usar solamente la expresión funciona bien.</w:t>
      </w:r>
    </w:p>
    <w:p>
      <w:pPr>
        <w:ind w:left="216" w:hanging="216"/>
      </w:pPr>
      <w:r>
        <w:t>7. Resolver o clasificar pendientes con Calidad. No liberar un incumplimiento que impida el uso acordado; una concesión permitida requiere autoridad identificada y alcance explícito.</w:t>
      </w:r>
    </w:p>
    <w:p>
      <w:pPr>
        <w:ind w:left="216" w:hanging="216"/>
      </w:pPr>
      <w:r>
        <w:t>8. Explicar uso y mantenimiento inicial al cliente, entregar documentación y levantar aceptación. Transferir a posventa seriales, condiciones, pruebas y pendientes aún abiertos.</w:t>
      </w:r>
    </w:p>
    <w:p>
      <w:pPr>
        <w:pStyle w:val="Heading1"/>
      </w:pPr>
      <w:r>
        <w:t>Riesgos y respuesta operativa</w:t>
      </w:r>
    </w:p>
    <w:p>
      <w:pPr>
        <w:pStyle w:val="ListBullet"/>
      </w:pPr>
      <w:r>
        <w:t>Instalación sobre condiciones del sitio diferentes a las aprobadas: revisión de inicio, consulta a Diseño y control formal del cambio. Detener el trabajo dependiente hasta definir una solución.</w:t>
      </w:r>
    </w:p>
    <w:p>
      <w:pPr>
        <w:pStyle w:val="ListBullet"/>
      </w:pPr>
      <w:r>
        <w:t>Prueba registrada con instrumento no apto: comprobar identificación y condición antes de medir. Aislar la evidencia afectada, evaluar resultados previos y repetir la verificación con un equipo válido.</w:t>
      </w:r>
    </w:p>
    <w:p>
      <w:pPr>
        <w:pStyle w:val="Heading1"/>
      </w:pPr>
      <w:r>
        <w:t>Seguimiento del proceso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0"/>
        <w:gridCol w:w="2847"/>
        <w:gridCol w:w="2440"/>
        <w:gridCol w:w="2440"/>
      </w:tblGrid>
      <w:tr>
        <w:trPr>
          <w:tblHeader w:val="true"/>
          <w:cantSplit/>
        </w:trPr>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Indicador y cálculo</w:t>
            </w:r>
          </w:p>
        </w:tc>
        <w:tc>
          <w:tcPr>
            <w:tcW w:type="dxa" w:w="2847"/>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Meta interna</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Frecuencia</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Responsable</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Entregas aceptadas en primera revisión / entregas evaluadas × 100</w:t>
            </w:r>
          </w:p>
        </w:tc>
        <w:tc>
          <w:tcPr>
            <w:tcW w:type="dxa" w:w="284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≥95%</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Mensual</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Óscar Benítez</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Equipos con prueba trazable / equipos instalados × 100</w:t>
            </w:r>
          </w:p>
        </w:tc>
        <w:tc>
          <w:tcPr>
            <w:tcW w:type="dxa" w:w="284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100%</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Por proyecto</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Jefe de frente</w:t>
            </w:r>
          </w:p>
        </w:tc>
      </w:tr>
    </w:tbl>
    <w:p>
      <w:pPr>
        <w:spacing w:after="20" w:before="0" w:line="240" w:lineRule="auto"/>
      </w:pPr>
      <w:r>
        <w:rPr>
          <w:sz w:val="4"/>
        </w:rPr>
      </w:r>
    </w:p>
    <w:p>
      <w:pPr>
        <w:pStyle w:val="Heading1"/>
      </w:pPr>
      <w:r>
        <w:t>Recursos y registros</w:t>
      </w:r>
    </w:p>
    <w:p>
      <w:r>
        <w:t>Recursos: personal autorizado, herramientas adecuadas, instrucciones de fabricante, diseño vigente y equipos de seguimiento identificados. Registros: revisión de inicio, seriales, prueba, formación y aceptación. CC-RG-03 contiene el ejemplo; CC-RG-05 controla evidencia de formación y equipos. Las desviaciones se abren con CC-FO-02 y CC-PR-04.</w:t>
      </w:r>
    </w:p>
    <w:p>
      <w:pPr>
        <w:pStyle w:val="Heading1"/>
      </w:pPr>
      <w:r>
        <w:t>Entrega y revisión del proceso</w:t>
      </w:r>
    </w:p>
    <w:p>
      <w:r>
        <w:t>El cierre exige que el cliente y posventa reciban la misma información de pendientes. Óscar revisa semanalmente trabajos detenidos, retrabajos y falta de suministros con Consultoría. La firma de recepción no borra una no conformidad documentada. La aceptación de un hito tampoco sustituye la aprobación de cambios comerciales o la conciliación de pagos por Finanzas.</w:t>
      </w:r>
    </w:p>
    <w:p>
      <w:pPr>
        <w:pStyle w:val="Heading1"/>
      </w:pPr>
      <w:r>
        <w:t>Documentos relacionados</w:t>
      </w:r>
    </w:p>
    <w:p>
      <w:r>
        <w:t>CC-CP-04 | CC-CP-06 | CC-CP-10 | CC-CP-15 | CC-CP-16 | CC-RG-03 | CC-RG-05 | CC-FO-01 | CC-FO-02 | CC-PR-04</w:t>
      </w:r>
    </w:p>
    <w:p>
      <w:pPr>
        <w:pStyle w:val="Heading1"/>
      </w:pPr>
      <w:r>
        <w:t>Historial de cambios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43"/>
        <w:gridCol w:w="4270"/>
        <w:gridCol w:w="3253"/>
      </w:tblGrid>
      <w:tr>
        <w:trPr>
          <w:tblHeader w:val="true"/>
          <w:cantSplit/>
        </w:trPr>
        <w:tc>
          <w:tcPr>
            <w:tcW w:type="dxa" w:w="264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Revisión</w:t>
            </w:r>
          </w:p>
        </w:tc>
        <w:tc>
          <w:tcPr>
            <w:tcW w:type="dxa" w:w="427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Fecha</w:t>
            </w:r>
          </w:p>
        </w:tc>
        <w:tc>
          <w:tcPr>
            <w:tcW w:type="dxa" w:w="325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Cambio registrado</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04</w:t>
            </w:r>
          </w:p>
        </w:tc>
        <w:tc>
          <w:tcPr>
            <w:tcW w:type="dxa" w:w="4270"/>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2025-09-08</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Se refuerza el vínculo entre instrumento identificado y resultado de prueba.</w:t>
            </w:r>
          </w:p>
        </w:tc>
      </w:tr>
    </w:tbl>
    <w:p>
      <w:pPr>
        <w:spacing w:after="20" w:before="0" w:line="240" w:lineRule="auto"/>
      </w:pPr>
      <w:r>
        <w:rPr>
          <w:sz w:val="4"/>
        </w:rPr>
      </w:r>
    </w:p>
    <w:p>
      <w:r>
        <w:br w:type="page"/>
      </w:r>
    </w:p>
    <w:p>
      <w:pPr>
        <w:pStyle w:val="Title"/>
      </w:pPr>
      <w:r>
        <w:t>Atención al cliente y gestión de solicitudes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0"/>
        <w:gridCol w:w="2847"/>
        <w:gridCol w:w="2440"/>
        <w:gridCol w:w="2440"/>
      </w:tblGrid>
      <w:tr>
        <w:trPr>
          <w:tblHeader w:val="true"/>
          <w:cantSplit/>
        </w:trPr>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Código</w:t>
            </w:r>
          </w:p>
        </w:tc>
        <w:tc>
          <w:tcPr>
            <w:tcW w:type="dxa" w:w="2847"/>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Revisión</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Emisión</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Estado</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CC-CP-13</w:t>
            </w:r>
          </w:p>
        </w:tc>
        <w:tc>
          <w:tcPr>
            <w:tcW w:type="dxa" w:w="284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03</w:t>
            </w:r>
          </w:p>
        </w:tc>
        <w:tc>
          <w:tcPr>
            <w:tcW w:type="dxa" w:w="2440"/>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2025-06-16</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Vigente</w:t>
            </w:r>
          </w:p>
        </w:tc>
      </w:tr>
    </w:tbl>
    <w:p>
      <w:pPr>
        <w:spacing w:after="20" w:before="0" w:line="240" w:lineRule="auto"/>
      </w:pPr>
      <w:r>
        <w:rPr>
          <w:sz w:val="4"/>
        </w:rPr>
      </w:r>
    </w:p>
    <w:p>
      <w:pPr>
        <w:spacing w:after="60"/>
      </w:pPr>
      <w:r>
        <w:rPr>
          <w:b/>
        </w:rPr>
        <w:t xml:space="preserve">Tipo y área: </w:t>
      </w:r>
      <w:r>
        <w:t>Caracterización de proceso | Servicio al cliente</w:t>
      </w:r>
    </w:p>
    <w:p>
      <w:pPr>
        <w:spacing w:after="60"/>
      </w:pPr>
      <w:r>
        <w:rPr>
          <w:b/>
        </w:rPr>
        <w:t xml:space="preserve">Responsable: </w:t>
      </w:r>
      <w:r>
        <w:t>Mariana León</w:t>
      </w:r>
    </w:p>
    <w:p>
      <w:pPr>
        <w:spacing w:after="60"/>
      </w:pPr>
      <w:r>
        <w:rPr>
          <w:b/>
        </w:rPr>
        <w:t xml:space="preserve">Aprobación interna: </w:t>
      </w:r>
      <w:r>
        <w:t>Valentina Ríos</w:t>
      </w:r>
    </w:p>
    <w:p>
      <w:pPr>
        <w:spacing w:before="100"/>
      </w:pPr>
      <w:r>
        <w:t>Servicio al cliente mantiene una respuesta coordinada a consultas, reclamos y solicitudes de compradores B2B y B2C. El cliente debe conocer quién lleva su caso, qué se está revisando y cuándo recibirá una actualización.</w:t>
      </w:r>
    </w:p>
    <w:p>
      <w:r>
        <w:rPr>
          <w:sz w:val="18"/>
        </w:rPr>
        <w:t>Referencia temática ISO 9001:2015: 4.4, 8.2.1, 9.1.2, 10.2.</w:t>
      </w:r>
    </w:p>
    <w:p>
      <w:pPr>
        <w:pStyle w:val="Heading1"/>
      </w:pPr>
      <w:r>
        <w:t>Propósito y alcance</w:t>
      </w:r>
    </w:p>
    <w:p>
      <w:r>
        <w:t>Aplica a contactos posteriores o vinculados a venta, entrega, instalación, garantía, devolución, facturación y uso del producto. Inicia con la recepción de la solicitud y termina con la comunicación del resultado y el seguimiento de satisfacción. Las reclamaciones técnicas se trabajan con Calidad y posventa; el equipo de atención no determina por sí solo la causa de una falla ni aprueba compensaciones fuera de su autoridad.</w:t>
      </w:r>
    </w:p>
    <w:p>
      <w:pPr>
        <w:pStyle w:val="Heading1"/>
      </w:pPr>
      <w:r>
        <w:t>Entradas resultados e interacciones</w:t>
      </w:r>
    </w:p>
    <w:p>
      <w:r>
        <w:t>Entradas: solicitud del cliente, orden o proyecto, serial cuando aplique, descripción y evidencia del problema. Ventas aporta condiciones prometidas; Logística, Montaje y Finanzas aportan el historial pertinente.</w:t>
      </w:r>
    </w:p>
    <w:p>
      <w:r>
        <w:t>Resultados: caso clasificado, respuesta, solución acordada o decisión fundada, evidencia de cierre y datos de satisfacción. Calidad recibe patrones, reincidencias y posibles no conformidades; Dirección recibe tendencias y casos críticos.</w:t>
      </w:r>
    </w:p>
    <w:p>
      <w:pPr>
        <w:pStyle w:val="Heading1"/>
      </w:pPr>
      <w:r>
        <w:t>Responsables y autoridad</w:t>
      </w:r>
    </w:p>
    <w:p>
      <w:r>
        <w:t>Mariana León asigna responsable y controla los plazos. El agente conserva una cronología comprensible y comunica avances. El dueño del proceso involucrado responde por la investigación y la solución técnica. Ricardo Muñoz coordina no conformidades y acciones correctivas. Finanzas verifica reembolsos; Legal interviene cuando la situación requiere revisar obligaciones o condiciones contractuales.</w:t>
      </w:r>
    </w:p>
    <w:p>
      <w:pPr>
        <w:pStyle w:val="Heading1"/>
      </w:pPr>
      <w:r>
        <w:t>Actividades y controles</w:t>
      </w:r>
    </w:p>
    <w:p>
      <w:pPr>
        <w:ind w:left="216" w:hanging="216"/>
      </w:pPr>
      <w:r>
        <w:t>1. Registrar el caso con código único y datos mínimos para localizar pedido o proyecto. Conservar la descripción original del cliente, aunque luego se aclare su interpretación.</w:t>
      </w:r>
    </w:p>
    <w:p>
      <w:pPr>
        <w:ind w:left="216" w:hanging="216"/>
      </w:pPr>
      <w:r>
        <w:t>2. Clasificar consulta, reclamo, garantía, devolución o incidente. Identificar urgencia e impacto; un posible riesgo de seguridad se escala inmediatamente al responsable competente.</w:t>
      </w:r>
    </w:p>
    <w:p>
      <w:pPr>
        <w:ind w:left="216" w:hanging="216"/>
      </w:pPr>
      <w:r>
        <w:t>3. Confirmar recepción y responsable. Establecer el siguiente contacto según prioridad y registrar el plazo comprometido, sin prometer una solución técnica antes de evaluarla.</w:t>
      </w:r>
    </w:p>
    <w:p>
      <w:pPr>
        <w:ind w:left="216" w:hanging="216"/>
      </w:pPr>
      <w:r>
        <w:t>4. Reunir antecedentes de venta, pago, despacho y montaje. Evitar solicitar documentos que ya estén disponibles; mantener los archivos relacionados bajo el mismo identificador.</w:t>
      </w:r>
    </w:p>
    <w:p>
      <w:pPr>
        <w:ind w:left="216" w:hanging="216"/>
      </w:pPr>
      <w:r>
        <w:t>5. Remitir a la función técnica o administrativa que debe resolver. Si hay incumplimiento de un requisito, abrir o vincular CC-FO-02 y coordinar con Calidad mediante CC-PR-04.</w:t>
      </w:r>
    </w:p>
    <w:p>
      <w:pPr>
        <w:ind w:left="216" w:hanging="216"/>
      </w:pPr>
      <w:r>
        <w:t>6. Comunicar diagnóstico y alternativa autorizada en lenguaje claro. Documentar qué acepta el cliente, qué depende de un tercero y cuándo habrá una nueva actualización.</w:t>
      </w:r>
    </w:p>
    <w:p>
      <w:pPr>
        <w:ind w:left="216" w:hanging="216"/>
      </w:pPr>
      <w:r>
        <w:t>7. Comprobar ejecución de reparación, reposición, ajuste o reembolso. Cerrar con evidencia de resultado y comunicación; si el cliente no responde, registrar el intento y la condición de cierre.</w:t>
      </w:r>
    </w:p>
    <w:p>
      <w:pPr>
        <w:ind w:left="216" w:hanging="216"/>
      </w:pPr>
      <w:r>
        <w:t>8. Consultar satisfacción y revisar reincidencia. Reabrir el caso si la solución falla; no crear uno distinto para ocultar repetición o evitar que aparezca un plazo incumplido.</w:t>
      </w:r>
    </w:p>
    <w:p>
      <w:pPr>
        <w:pStyle w:val="Heading1"/>
      </w:pPr>
      <w:r>
        <w:t>Riesgos y respuesta operativa</w:t>
      </w:r>
    </w:p>
    <w:p>
      <w:pPr>
        <w:pStyle w:val="ListBullet"/>
      </w:pPr>
      <w:r>
        <w:t>Cierre administrativo sin solución comprobada: requerir evidencia del área ejecutora y comunicación al cliente. Las solicitudes sin respuesta final permanecen identificadas como pendientes.</w:t>
      </w:r>
    </w:p>
    <w:p>
      <w:pPr>
        <w:pStyle w:val="ListBullet"/>
      </w:pPr>
      <w:r>
        <w:t>Información contradictoria entre áreas: mantener un responsable de caso y una cronología común. Una promesa nueva se contrasta con el dueño de la solución antes de comunicarla.</w:t>
      </w:r>
    </w:p>
    <w:p>
      <w:pPr>
        <w:pStyle w:val="Heading1"/>
      </w:pPr>
      <w:r>
        <w:t>Seguimiento del proceso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0"/>
        <w:gridCol w:w="2847"/>
        <w:gridCol w:w="2440"/>
        <w:gridCol w:w="2440"/>
      </w:tblGrid>
      <w:tr>
        <w:trPr>
          <w:tblHeader w:val="true"/>
          <w:cantSplit/>
        </w:trPr>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Indicador y cálculo</w:t>
            </w:r>
          </w:p>
        </w:tc>
        <w:tc>
          <w:tcPr>
            <w:tcW w:type="dxa" w:w="2847"/>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Meta interna</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Frecuencia</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Responsable</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Puntos obtenidos / puntos posibles de respuestas válidas × 100</w:t>
            </w:r>
          </w:p>
        </w:tc>
        <w:tc>
          <w:tcPr>
            <w:tcW w:type="dxa" w:w="2847"/>
            <w:vAlign w:val="center"/>
            <w:tcMar>
              <w:top w:w="75" w:type="dxa"/>
              <w:bottom w:w="75" w:type="dxa"/>
              <w:left w:w="90" w:type="dxa"/>
              <w:right w:w="90" w:type="dxa"/>
            </w:tcMar>
          </w:tcPr>
          <w:p>
            <w:pPr>
              <w:keepNext w:val="0"/>
              <w:widowControl/>
              <w:spacing w:before="0" w:after="20" w:line="240" w:lineRule="auto"/>
            </w:pPr>
            <w:r>
              <w:rPr>
                <w:b w:val="0"/>
                <w:color w:val="000000"/>
                <w:sz w:val="18"/>
              </w:rPr>
              <w:t>≥90 sobre 100</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Mensual</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Mariana León</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Casos con primera respuesta en plazo / casos recibidos × 100</w:t>
            </w:r>
          </w:p>
        </w:tc>
        <w:tc>
          <w:tcPr>
            <w:tcW w:type="dxa" w:w="284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≥95%</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Semanal</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Servicio al cliente</w:t>
            </w:r>
          </w:p>
        </w:tc>
      </w:tr>
    </w:tbl>
    <w:p>
      <w:pPr>
        <w:spacing w:after="20" w:before="0" w:line="240" w:lineRule="auto"/>
      </w:pPr>
      <w:r>
        <w:rPr>
          <w:sz w:val="4"/>
        </w:rPr>
      </w:r>
    </w:p>
    <w:p>
      <w:pPr>
        <w:pStyle w:val="Heading1"/>
      </w:pPr>
      <w:r>
        <w:t>Recursos y registros</w:t>
      </w:r>
    </w:p>
    <w:p>
      <w:r>
        <w:t>Recursos: sistema de casos, personal formado, información comercial y consulta de trazabilidad. Registros: contacto, clasificación, actuaciones, solución, comunicación y satisfacción. CC-RG-03 incluye un caso de posventa ligado a PRJ-005. CC-FO-02 y CC-RG-04 conectan hallazgos con seguimiento de acciones; se conservan según CC-PR-01.</w:t>
      </w:r>
    </w:p>
    <w:p>
      <w:pPr>
        <w:pStyle w:val="Heading1"/>
      </w:pPr>
      <w:r>
        <w:t>Entrega y revisión del proceso</w:t>
      </w:r>
    </w:p>
    <w:p>
      <w:r>
        <w:t>La referencia sintética de satisfacción de 2025 es 86/100. Mariana presenta causas de insatisfacción y acciones, distinguiendo número de respuestas y alcance de la muestra. Las quejas recurrentes pasan a Calidad aunque cada caso individual esté cerrado. La entrega a posventa mantiene el mismo contexto del cliente y un responsable claro de la siguiente actuación.</w:t>
      </w:r>
    </w:p>
    <w:p>
      <w:pPr>
        <w:pStyle w:val="Heading1"/>
      </w:pPr>
      <w:r>
        <w:t>Documentos relacionados</w:t>
      </w:r>
    </w:p>
    <w:p>
      <w:r>
        <w:t>CC-CP-02 | CC-CP-05 | CC-CP-06 | CC-CP-10 | CC-CP-12 | CC-CP-16 | CC-CP-17 | CC-RG-03 | CC-RG-04 | CC-FO-02 | CC-PR-01 | CC-PR-04</w:t>
      </w:r>
    </w:p>
    <w:p>
      <w:pPr>
        <w:pStyle w:val="Heading1"/>
      </w:pPr>
      <w:r>
        <w:t>Historial de cambios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43"/>
        <w:gridCol w:w="4270"/>
        <w:gridCol w:w="3253"/>
      </w:tblGrid>
      <w:tr>
        <w:trPr>
          <w:tblHeader w:val="true"/>
          <w:cantSplit/>
        </w:trPr>
        <w:tc>
          <w:tcPr>
            <w:tcW w:type="dxa" w:w="264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Revisión</w:t>
            </w:r>
          </w:p>
        </w:tc>
        <w:tc>
          <w:tcPr>
            <w:tcW w:type="dxa" w:w="427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Fecha</w:t>
            </w:r>
          </w:p>
        </w:tc>
        <w:tc>
          <w:tcPr>
            <w:tcW w:type="dxa" w:w="325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Cambio registrado</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03</w:t>
            </w:r>
          </w:p>
        </w:tc>
        <w:tc>
          <w:tcPr>
            <w:tcW w:type="dxa" w:w="4270"/>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2025-06-16</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Se incorpora reapertura de casos y separación entre cierre y satisfacción.</w:t>
            </w:r>
          </w:p>
        </w:tc>
      </w:tr>
    </w:tbl>
    <w:p>
      <w:pPr>
        <w:spacing w:after="20" w:before="0" w:line="240" w:lineRule="auto"/>
      </w:pPr>
      <w:r>
        <w:rPr>
          <w:sz w:val="4"/>
        </w:rPr>
      </w:r>
    </w:p>
    <w:p>
      <w:r>
        <w:br w:type="page"/>
      </w:r>
    </w:p>
    <w:p>
      <w:pPr>
        <w:pStyle w:val="Title"/>
      </w:pPr>
      <w:r>
        <w:t>Tecnología continuidad y control de información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0"/>
        <w:gridCol w:w="2847"/>
        <w:gridCol w:w="2440"/>
        <w:gridCol w:w="2440"/>
      </w:tblGrid>
      <w:tr>
        <w:trPr>
          <w:tblHeader w:val="true"/>
          <w:cantSplit/>
        </w:trPr>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Código</w:t>
            </w:r>
          </w:p>
        </w:tc>
        <w:tc>
          <w:tcPr>
            <w:tcW w:type="dxa" w:w="2847"/>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Revisión</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Emisión</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Estado</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CC-CP-14</w:t>
            </w:r>
          </w:p>
        </w:tc>
        <w:tc>
          <w:tcPr>
            <w:tcW w:type="dxa" w:w="284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03</w:t>
            </w:r>
          </w:p>
        </w:tc>
        <w:tc>
          <w:tcPr>
            <w:tcW w:type="dxa" w:w="2440"/>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2025-08-04</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Vigente</w:t>
            </w:r>
          </w:p>
        </w:tc>
      </w:tr>
    </w:tbl>
    <w:p>
      <w:pPr>
        <w:spacing w:after="20" w:before="0" w:line="240" w:lineRule="auto"/>
      </w:pPr>
      <w:r>
        <w:rPr>
          <w:sz w:val="4"/>
        </w:rPr>
      </w:r>
    </w:p>
    <w:p>
      <w:pPr>
        <w:spacing w:after="60"/>
      </w:pPr>
      <w:r>
        <w:rPr>
          <w:b/>
        </w:rPr>
        <w:t xml:space="preserve">Tipo y área: </w:t>
      </w:r>
      <w:r>
        <w:t>Caracterización de proceso | Tecnología</w:t>
      </w:r>
    </w:p>
    <w:p>
      <w:pPr>
        <w:spacing w:after="60"/>
      </w:pPr>
      <w:r>
        <w:rPr>
          <w:b/>
        </w:rPr>
        <w:t xml:space="preserve">Responsable: </w:t>
      </w:r>
      <w:r>
        <w:t>Santiago Robledo | Líder de Tecnología</w:t>
      </w:r>
    </w:p>
    <w:p>
      <w:pPr>
        <w:spacing w:after="60"/>
      </w:pPr>
      <w:r>
        <w:rPr>
          <w:b/>
        </w:rPr>
        <w:t xml:space="preserve">Aprobación interna: </w:t>
      </w:r>
      <w:r>
        <w:t>Valentina Ríos</w:t>
      </w:r>
    </w:p>
    <w:p>
      <w:pPr>
        <w:spacing w:before="100"/>
      </w:pPr>
      <w:r>
        <w:t>Tecnología mantiene disponibles los medios digitales que soportan ventas, inventarios, proyectos y documentación. El proceso controla accesos, cambios, incidentes y recuperación para que una falla técnica no convierta en confiable un dato incompleto o desactualizado.</w:t>
      </w:r>
    </w:p>
    <w:p>
      <w:r>
        <w:rPr>
          <w:sz w:val="18"/>
        </w:rPr>
        <w:t>Referencia temática ISO 9001:2015: 6.3, 7.1.3, 7.1.6, 7.5, 8.5.6, 9.1.</w:t>
      </w:r>
    </w:p>
    <w:p>
      <w:pPr>
        <w:pStyle w:val="Heading1"/>
      </w:pPr>
      <w:r>
        <w:t>Alcance y servicios</w:t>
      </w:r>
    </w:p>
    <w:p>
      <w:r>
        <w:t>Se administran los sistemas de operación, el sitio de comercio electrónico, puestos de trabajo, conectividad y repositorio documental. Los proveedores tecnológicos conservan sus responsabilidades contractuales; Company Co mantiene la revisión de sus resultados. La prioridad de una solicitud se determina por impacto en pedidos, entregas, trazabilidad y usuarios afectados, no solo por el orden de llegada.</w:t>
      </w:r>
    </w:p>
    <w:p>
      <w:pPr>
        <w:pStyle w:val="Heading1"/>
      </w:pPr>
      <w:r>
        <w:t>Entradas salidas e interacción</w:t>
      </w:r>
    </w:p>
    <w:p>
      <w:r>
        <w:t>Las áreas reportan fallas con fecha, pantalla o dato afectado y operación pendiente. Talento humano comunica altas y retiros; Calidad informa revisiones documentales. Tecnología entrega acceso aprobado, cambio validado, servicio recuperado o una limitación explícita. Las diferencias de transacción se investigan con Finanzas y E-commerce sin alterar registros comerciales para ocultar la falla.</w:t>
      </w:r>
    </w:p>
    <w:p>
      <w:pPr>
        <w:pStyle w:val="Heading1"/>
      </w:pPr>
      <w:r>
        <w:t>Responsables</w:t>
      </w:r>
    </w:p>
    <w:p>
      <w:r>
        <w:t>Santiago Robledo autoriza la ejecución técnica y asigna responsable. El dueño del proceso aprueba el comportamiento esperado y acepta el resultado funcional. El solicitante no aprueba sus propios privilegios. Calidad conserva la autoridad sobre vigencia de documentos; Tecnología administra el soporte y los permisos, sin reemplazar por una copia local el original controlado.</w:t>
      </w:r>
    </w:p>
    <w:p>
      <w:pPr>
        <w:pStyle w:val="Heading1"/>
      </w:pPr>
      <w:r>
        <w:t>Actividades y controles</w:t>
      </w:r>
    </w:p>
    <w:p>
      <w:pPr>
        <w:ind w:left="216" w:hanging="216"/>
      </w:pPr>
      <w:r>
        <w:t>1. Registrar la solicitud y clasificar impacto, urgencia y servicio. Para un incidente, preservar la secuencia de hechos y cualquier referencia de pedido relacionada.</w:t>
      </w:r>
    </w:p>
    <w:p>
      <w:pPr>
        <w:ind w:left="216" w:hanging="216"/>
      </w:pPr>
      <w:r>
        <w:t>2. Verificar autorización de acceso por persona y función. Aplicar el mínimo necesario y revisar las cuentas sin uso; un traslado exige revisar también los permisos anteriores.</w:t>
      </w:r>
    </w:p>
    <w:p>
      <w:pPr>
        <w:ind w:left="216" w:hanging="216"/>
      </w:pPr>
      <w:r>
        <w:t>3. Analizar cada cambio con alcance, dependencia, riesgo, ventana y retorno. Utilizar CC-FO-01 cuando afecte un proceso o un control de calidad.</w:t>
      </w:r>
    </w:p>
    <w:p>
      <w:pPr>
        <w:ind w:left="216" w:hanging="216"/>
      </w:pPr>
      <w:r>
        <w:t>4. Preparar y revisar la modificación con evidencia técnica apropiada. Solicitar al dueño del proceso la aceptación de los casos acordados antes del cierre.</w:t>
      </w:r>
    </w:p>
    <w:p>
      <w:pPr>
        <w:ind w:left="216" w:hanging="216"/>
      </w:pPr>
      <w:r>
        <w:t>5. Ejecutar el cambio en la ventana autorizada. Registrar versión, responsable, resultado y decisión de continuar o volver a la versión anterior.</w:t>
      </w:r>
    </w:p>
    <w:p>
      <w:pPr>
        <w:ind w:left="216" w:hanging="216"/>
      </w:pPr>
      <w:r>
        <w:t>6. Supervisar copias de respaldo y comprobar periódicamente que una muestra pueda recuperarse. Un mensaje de copia terminada no demuestra por sí solo recuperación utilizable.</w:t>
      </w:r>
    </w:p>
    <w:p>
      <w:pPr>
        <w:ind w:left="216" w:hanging="216"/>
      </w:pPr>
      <w:r>
        <w:t>7. Cerrar incidentes con causa, solución y confirmación del área. Si reaparecen, vincularlos y remitir a CC-PR-04 para análisis de recurrencia.</w:t>
      </w:r>
    </w:p>
    <w:p>
      <w:pPr>
        <w:pStyle w:val="Heading1"/>
      </w:pPr>
      <w:r>
        <w:t>Riesgos y respuesta</w:t>
      </w:r>
    </w:p>
    <w:p>
      <w:pPr>
        <w:pStyle w:val="ListBullet"/>
      </w:pPr>
      <w:r>
        <w:t>Accesos que permanecen después de un retiro: reconciliar el registro de personas con las cuentas habilitadas y escalar cualquier diferencia al líder correspondiente.</w:t>
      </w:r>
    </w:p>
    <w:p>
      <w:pPr>
        <w:pStyle w:val="ListBullet"/>
      </w:pPr>
      <w:r>
        <w:t>Cambio que interrumpe el despacho: definir retorno y coordinación con Inventarios y Logística antes de intervenir.</w:t>
      </w:r>
    </w:p>
    <w:p>
      <w:pPr>
        <w:pStyle w:val="ListBullet"/>
      </w:pPr>
      <w:r>
        <w:t>Pérdida de un documento o respaldo inútil: conservar versiones controladas y evidencia de recuperación; evitar copias personales como fuente oficial.</w:t>
      </w:r>
    </w:p>
    <w:p>
      <w:pPr>
        <w:pStyle w:val="Heading1"/>
      </w:pPr>
      <w:r>
        <w:t>Indicadores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43"/>
        <w:gridCol w:w="4270"/>
        <w:gridCol w:w="3253"/>
      </w:tblGrid>
      <w:tr>
        <w:trPr>
          <w:tblHeader w:val="true"/>
          <w:cantSplit/>
        </w:trPr>
        <w:tc>
          <w:tcPr>
            <w:tcW w:type="dxa" w:w="264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Indicador y fórmula</w:t>
            </w:r>
          </w:p>
        </w:tc>
        <w:tc>
          <w:tcPr>
            <w:tcW w:type="dxa" w:w="427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Meta</w:t>
            </w:r>
          </w:p>
        </w:tc>
        <w:tc>
          <w:tcPr>
            <w:tcW w:type="dxa" w:w="325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Frecuencia y responsable</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Cambios sin incidente atribuible = cambios sin falla posterior identificada / cambios ejecutados × 100</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95 % o más</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Mensual | Santiago Robledo</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Recuperaciones satisfactorias = ejercicios con datos recuperables / ejercicios programados × 100</w:t>
            </w:r>
          </w:p>
        </w:tc>
        <w:tc>
          <w:tcPr>
            <w:tcW w:type="dxa" w:w="4270"/>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100 %</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Trimestral | Santiago Robledo</w:t>
            </w:r>
          </w:p>
        </w:tc>
      </w:tr>
    </w:tbl>
    <w:p>
      <w:pPr>
        <w:spacing w:after="20" w:before="0" w:line="240" w:lineRule="auto"/>
      </w:pPr>
      <w:r>
        <w:rPr>
          <w:sz w:val="4"/>
        </w:rPr>
      </w:r>
    </w:p>
    <w:p>
      <w:pPr>
        <w:pStyle w:val="Heading1"/>
      </w:pPr>
      <w:r>
        <w:t>Recursos y registros</w:t>
      </w:r>
    </w:p>
    <w:p>
      <w:r>
        <w:t>El proceso usa inventario de activos, registro de incidencias, control de versiones y recursos de respaldo. Se conserva autorización, descripción del cambio y aceptación del área. CC-PR-01 y CC-LM-01 gobiernan la información documentada. Los registros completos de cuentas y respaldos no están incluidos en este expediente; no se reporta una prueba técnica como ejecutada solo por existir este procedimiento.</w:t>
      </w:r>
    </w:p>
    <w:p>
      <w:pPr>
        <w:pStyle w:val="Heading1"/>
      </w:pPr>
      <w:r>
        <w:t>Entrega del servicio</w:t>
      </w:r>
    </w:p>
    <w:p>
      <w:r>
        <w:t>El cierre requiere confirmar que la operación afectada puede continuar y que el área conoce cualquier restricción residual. Las guías nuevas se incorporan al repositorio y se comunican a Talento humano cuando necesitan capacitación. Las decisiones sobre conservar registros se coordinan con Legal, especialmente si existe una reclamación abierta.</w:t>
      </w:r>
    </w:p>
    <w:p>
      <w:pPr>
        <w:pStyle w:val="Heading1"/>
      </w:pPr>
      <w:r>
        <w:t>Documentos relacionados</w:t>
      </w:r>
    </w:p>
    <w:p>
      <w:r>
        <w:t>CC-CP-02 | CC-CP-03 | CC-CP-08 | CC-CP-11 | CC-CP-17 | CC-PR-01 | CC-PR-04 | CC-FO-01 | CC-LM-01</w:t>
      </w:r>
    </w:p>
    <w:p>
      <w:pPr>
        <w:pStyle w:val="Heading1"/>
      </w:pPr>
      <w:r>
        <w:t>Historial de cambios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43"/>
        <w:gridCol w:w="4270"/>
        <w:gridCol w:w="3253"/>
      </w:tblGrid>
      <w:tr>
        <w:trPr>
          <w:tblHeader w:val="true"/>
          <w:cantSplit/>
        </w:trPr>
        <w:tc>
          <w:tcPr>
            <w:tcW w:type="dxa" w:w="264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Revisión</w:t>
            </w:r>
          </w:p>
        </w:tc>
        <w:tc>
          <w:tcPr>
            <w:tcW w:type="dxa" w:w="427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Fecha</w:t>
            </w:r>
          </w:p>
        </w:tc>
        <w:tc>
          <w:tcPr>
            <w:tcW w:type="dxa" w:w="325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Cambio registrado</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03</w:t>
            </w:r>
          </w:p>
        </w:tc>
        <w:tc>
          <w:tcPr>
            <w:tcW w:type="dxa" w:w="4270"/>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2025-08-04</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Se incorpora aceptación del dueño del proceso y evidencia diferenciada de respaldo y recuperación.</w:t>
            </w:r>
          </w:p>
        </w:tc>
      </w:tr>
    </w:tbl>
    <w:p>
      <w:pPr>
        <w:spacing w:after="20" w:before="0" w:line="240" w:lineRule="auto"/>
      </w:pPr>
      <w:r>
        <w:rPr>
          <w:sz w:val="4"/>
        </w:rPr>
      </w:r>
    </w:p>
    <w:p>
      <w:r>
        <w:br w:type="page"/>
      </w:r>
    </w:p>
    <w:p>
      <w:pPr>
        <w:pStyle w:val="Title"/>
      </w:pPr>
      <w:r>
        <w:t>Diseño de espacios y soluciones para cafeterías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0"/>
        <w:gridCol w:w="2847"/>
        <w:gridCol w:w="2440"/>
        <w:gridCol w:w="2440"/>
      </w:tblGrid>
      <w:tr>
        <w:trPr>
          <w:tblHeader w:val="true"/>
          <w:cantSplit/>
        </w:trPr>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Código</w:t>
            </w:r>
          </w:p>
        </w:tc>
        <w:tc>
          <w:tcPr>
            <w:tcW w:type="dxa" w:w="2847"/>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Revisión</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Emisión</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Estado</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CC-CP-15</w:t>
            </w:r>
          </w:p>
        </w:tc>
        <w:tc>
          <w:tcPr>
            <w:tcW w:type="dxa" w:w="284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05</w:t>
            </w:r>
          </w:p>
        </w:tc>
        <w:tc>
          <w:tcPr>
            <w:tcW w:type="dxa" w:w="2440"/>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2025-07-21</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Vigente</w:t>
            </w:r>
          </w:p>
        </w:tc>
      </w:tr>
    </w:tbl>
    <w:p>
      <w:pPr>
        <w:spacing w:after="20" w:before="0" w:line="240" w:lineRule="auto"/>
      </w:pPr>
      <w:r>
        <w:rPr>
          <w:sz w:val="4"/>
        </w:rPr>
      </w:r>
    </w:p>
    <w:p>
      <w:pPr>
        <w:spacing w:after="60"/>
      </w:pPr>
      <w:r>
        <w:rPr>
          <w:b/>
        </w:rPr>
        <w:t xml:space="preserve">Tipo y área: </w:t>
      </w:r>
      <w:r>
        <w:t>Caracterización de proceso | Diseño de espacios</w:t>
      </w:r>
    </w:p>
    <w:p>
      <w:pPr>
        <w:spacing w:after="60"/>
      </w:pPr>
      <w:r>
        <w:rPr>
          <w:b/>
        </w:rPr>
        <w:t xml:space="preserve">Responsable: </w:t>
      </w:r>
      <w:r>
        <w:t>Isabel Restrepo</w:t>
      </w:r>
    </w:p>
    <w:p>
      <w:pPr>
        <w:spacing w:after="60"/>
      </w:pPr>
      <w:r>
        <w:rPr>
          <w:b/>
        </w:rPr>
        <w:t xml:space="preserve">Aprobación interna: </w:t>
      </w:r>
      <w:r>
        <w:t>Valentina Ríos</w:t>
      </w:r>
    </w:p>
    <w:p>
      <w:pPr>
        <w:spacing w:before="100"/>
      </w:pPr>
      <w:r>
        <w:t>Diseño de espacios desarrolla una solución que satisface los requisitos del proyecto y puede instalarse y utilizarse en el local previsto. La revisión, la verificación y la validación se registran con propósitos distintos para evitar que un plano aprobado aparente probar por sí solo el funcionamiento de la solución.</w:t>
      </w:r>
    </w:p>
    <w:p>
      <w:r>
        <w:rPr>
          <w:sz w:val="18"/>
        </w:rPr>
        <w:t>Referencia temática ISO 9001:2015: 4.4, 8.3.2, 8.3.3, 8.3.4, 8.3.5, 8.3.6.</w:t>
      </w:r>
    </w:p>
    <w:p>
      <w:pPr>
        <w:pStyle w:val="Heading1"/>
      </w:pPr>
      <w:r>
        <w:t>Propósito y alcance</w:t>
      </w:r>
    </w:p>
    <w:p>
      <w:r>
        <w:t>Cubre planificación del diseño, entradas, elaboración, revisión interdisciplinaria, verificación, validación y control de cambios. Incluye distribución, selección y compatibilidad de equipos, mobiliario, circulación y necesidades de instalación de cafeterías. Company Co sí realiza actividades de diseño y desarrollo dentro de su alcance; no excluye este proceso del sistema de calidad. Las evaluaciones especializadas se encargan a personas competentes cuando la solución lo requiera.</w:t>
      </w:r>
    </w:p>
    <w:p>
      <w:pPr>
        <w:pStyle w:val="Heading1"/>
      </w:pPr>
      <w:r>
        <w:t>Entradas resultados e interacciones</w:t>
      </w:r>
    </w:p>
    <w:p>
      <w:r>
        <w:t>Entradas: diagnóstico de Consultoría, levantamiento del local, capacidad esperada, presupuesto, restricciones y criterios de aceptación del cliente. Compras confirma disponibilidad y Montaje aporta condiciones de ejecución.</w:t>
      </w:r>
    </w:p>
    <w:p>
      <w:r>
        <w:t>Resultados: planos y especificaciones con revisión, lista de equipos, verificaciones, validación acordada y paquete liberado para compra y montaje. CC-RG-01 conserva la muestra de PRJ-005 La Estación y sus decisiones de diseño.</w:t>
      </w:r>
    </w:p>
    <w:p>
      <w:pPr>
        <w:pStyle w:val="Heading1"/>
      </w:pPr>
      <w:r>
        <w:t>Responsables y autoridad</w:t>
      </w:r>
    </w:p>
    <w:p>
      <w:r>
        <w:t>Isabel Restrepo planifica los controles y aprueba la salida técnica. El diseñador desarrolla la solución y mantiene requisitos trazables. Una persona competente distinta revisa los puntos críticos cuando sea viable; la falta de independencia se declara y compensa con revisión adicional. El cliente valida el uso previsto; Consultoría coordina la aprobación y Ventas formaliza impactos comerciales.</w:t>
      </w:r>
    </w:p>
    <w:p>
      <w:pPr>
        <w:pStyle w:val="Heading1"/>
      </w:pPr>
      <w:r>
        <w:t>Actividades y controles</w:t>
      </w:r>
    </w:p>
    <w:p>
      <w:pPr>
        <w:ind w:left="216" w:hanging="216"/>
      </w:pPr>
      <w:r>
        <w:t>1. Planificar etapas, responsables y controles según complejidad. Identificar entregables, revisiones internas y momentos de participación del cliente antes de iniciar el dibujo detallado.</w:t>
      </w:r>
    </w:p>
    <w:p>
      <w:pPr>
        <w:ind w:left="216" w:hanging="216"/>
      </w:pPr>
      <w:r>
        <w:t>2. Revisar entradas y resolver datos incompatibles o incompletos. Numerar requisitos y comprobar dimensiones, capacidad, servicios, mantenimiento, presupuesto y condiciones de uso.</w:t>
      </w:r>
    </w:p>
    <w:p>
      <w:pPr>
        <w:ind w:left="216" w:hanging="216"/>
      </w:pPr>
      <w:r>
        <w:t>3. Desarrollar alternativas viables y justificar la selección. Mantener visibles supuestos y restricciones; no usar una preferencia estética para omitir acceso a mantenimiento o circulación necesaria.</w:t>
      </w:r>
    </w:p>
    <w:p>
      <w:pPr>
        <w:ind w:left="216" w:hanging="216"/>
      </w:pPr>
      <w:r>
        <w:t>4. Revisar con Consultoría, Compras y Montaje las interfaces de equipos y obra. Registrar observaciones, decisiones y responsables; comprobar que los cambios queden incorporados.</w:t>
      </w:r>
    </w:p>
    <w:p>
      <w:pPr>
        <w:ind w:left="216" w:hanging="216"/>
      </w:pPr>
      <w:r>
        <w:t>5. Verificar las salidas contra cada requisito de entrada. Revisar medidas, compatibilidad, lista de materiales y correspondencia entre plano y especificación, conservando resultados y correcciones.</w:t>
      </w:r>
    </w:p>
    <w:p>
      <w:pPr>
        <w:ind w:left="216" w:hanging="216"/>
      </w:pPr>
      <w:r>
        <w:t>6. Validar la solución con el uso previsto mediante el método acordado: recorrido, representación, demostración o comprobación pertinente. Registrar qué se validó y qué quedará pendiente en sitio.</w:t>
      </w:r>
    </w:p>
    <w:p>
      <w:pPr>
        <w:ind w:left="216" w:hanging="216"/>
      </w:pPr>
      <w:r>
        <w:t>7. Liberar el paquete identificado para compra y montaje. Confirmar revisión de planos, requisitos de aceptación y pendientes; impedir el uso de archivos obsoletos por los equipos ejecutores.</w:t>
      </w:r>
    </w:p>
    <w:p>
      <w:pPr>
        <w:ind w:left="216" w:hanging="216"/>
      </w:pPr>
      <w:r>
        <w:t>8. Evaluar cambios posteriores mediante CC-FO-01. Revisar efectos en equipos ya pedidos, instalación, costo y plazo; repetir los controles afectados y comunicar la nueva línea base.</w:t>
      </w:r>
    </w:p>
    <w:p>
      <w:pPr>
        <w:pStyle w:val="Heading1"/>
      </w:pPr>
      <w:r>
        <w:t>Riesgos y respuesta operativa</w:t>
      </w:r>
    </w:p>
    <w:p>
      <w:pPr>
        <w:pStyle w:val="ListBullet"/>
      </w:pPr>
      <w:r>
        <w:t>Medidas de local incorrectas: revisar el levantamiento y confirmar dimensiones críticas antes de liberar. Si el sitio cambia, reabrir los requisitos afectados y conservar la evidencia anterior.</w:t>
      </w:r>
    </w:p>
    <w:p>
      <w:pPr>
        <w:pStyle w:val="ListBullet"/>
      </w:pPr>
      <w:r>
        <w:t>Cambio de equipo que rompe compatibilidad: exigir revisión conjunta con Compras y Montaje; evaluar conexiones, espacio y mantenimiento antes de aceptar el sustituto.</w:t>
      </w:r>
    </w:p>
    <w:p>
      <w:pPr>
        <w:pStyle w:val="Heading1"/>
      </w:pPr>
      <w:r>
        <w:t>Seguimiento del proceso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0"/>
        <w:gridCol w:w="2847"/>
        <w:gridCol w:w="2440"/>
        <w:gridCol w:w="2440"/>
      </w:tblGrid>
      <w:tr>
        <w:trPr>
          <w:tblHeader w:val="true"/>
          <w:cantSplit/>
        </w:trPr>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Indicador y cálculo</w:t>
            </w:r>
          </w:p>
        </w:tc>
        <w:tc>
          <w:tcPr>
            <w:tcW w:type="dxa" w:w="2847"/>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Meta interna</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Frecuencia</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Responsable</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Requisitos verificados / requisitos aplicables × 100</w:t>
            </w:r>
          </w:p>
        </w:tc>
        <w:tc>
          <w:tcPr>
            <w:tcW w:type="dxa" w:w="284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100%</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Por revisión</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Isabel Restrepo</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Paquetes sin retrabajo atribuible a diseño / paquetes liberados × 100</w:t>
            </w:r>
          </w:p>
        </w:tc>
        <w:tc>
          <w:tcPr>
            <w:tcW w:type="dxa" w:w="284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≥95%</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Trimestral</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Diseño y Calidad</w:t>
            </w:r>
          </w:p>
        </w:tc>
      </w:tr>
    </w:tbl>
    <w:p>
      <w:pPr>
        <w:spacing w:after="20" w:before="0" w:line="240" w:lineRule="auto"/>
      </w:pPr>
      <w:r>
        <w:rPr>
          <w:sz w:val="4"/>
        </w:rPr>
      </w:r>
    </w:p>
    <w:p>
      <w:pPr>
        <w:pStyle w:val="Heading1"/>
      </w:pPr>
      <w:r>
        <w:t>Recursos y registros</w:t>
      </w:r>
    </w:p>
    <w:p>
      <w:r>
        <w:t>Recursos: personal competente, herramientas de diseño, levantamientos, fichas técnicas y repositorio controlado. Se conservan planificación, entradas, revisiones, comprobaciones, aceptación y cambios. CC-RG-01 y CC-FO-01 muestran los registros aplicables; CC-PR-01 define control de versiones y acceso. Los planos detallados de obra no incluidos en la muestra se identifican en el expediente operativo.</w:t>
      </w:r>
    </w:p>
    <w:p>
      <w:pPr>
        <w:pStyle w:val="Heading1"/>
      </w:pPr>
      <w:r>
        <w:t>Entrega y revisión del proceso</w:t>
      </w:r>
    </w:p>
    <w:p>
      <w:r>
        <w:t>La entrega exige que Compras y Montaje reconozcan la revisión vigente. Una validación pendiente en sitio se describe con criterio, responsable y momento, sin marcarla concluida antes de ejecutarla. Isabel revisa trimestralmente las causas de cambios y retrabajos con Calidad, incorporando aprendizajes a la planificación de nuevos proyectos y a la formación del equipo.</w:t>
      </w:r>
    </w:p>
    <w:p>
      <w:pPr>
        <w:pStyle w:val="Heading1"/>
      </w:pPr>
      <w:r>
        <w:t>Documentos relacionados</w:t>
      </w:r>
    </w:p>
    <w:p>
      <w:r>
        <w:t>CC-CP-04 | CC-CP-06 | CC-CP-09 | CC-CP-12 | CC-CP-16 | CC-RG-01 | CC-FO-01 | CC-PR-01</w:t>
      </w:r>
    </w:p>
    <w:p>
      <w:pPr>
        <w:pStyle w:val="Heading1"/>
      </w:pPr>
      <w:r>
        <w:t>Historial de cambios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43"/>
        <w:gridCol w:w="4270"/>
        <w:gridCol w:w="3253"/>
      </w:tblGrid>
      <w:tr>
        <w:trPr>
          <w:tblHeader w:val="true"/>
          <w:cantSplit/>
        </w:trPr>
        <w:tc>
          <w:tcPr>
            <w:tcW w:type="dxa" w:w="264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Revisión</w:t>
            </w:r>
          </w:p>
        </w:tc>
        <w:tc>
          <w:tcPr>
            <w:tcW w:type="dxa" w:w="427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Fecha</w:t>
            </w:r>
          </w:p>
        </w:tc>
        <w:tc>
          <w:tcPr>
            <w:tcW w:type="dxa" w:w="325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Cambio registrado</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05</w:t>
            </w:r>
          </w:p>
        </w:tc>
        <w:tc>
          <w:tcPr>
            <w:tcW w:type="dxa" w:w="4270"/>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2025-07-21</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Se diferencian los registros de revisión verificación y validación del diseño.</w:t>
            </w:r>
          </w:p>
        </w:tc>
      </w:tr>
    </w:tbl>
    <w:p>
      <w:pPr>
        <w:spacing w:after="20" w:before="0" w:line="240" w:lineRule="auto"/>
      </w:pPr>
      <w:r>
        <w:rPr>
          <w:sz w:val="4"/>
        </w:rPr>
      </w:r>
    </w:p>
    <w:p>
      <w:r>
        <w:br w:type="page"/>
      </w:r>
    </w:p>
    <w:p>
      <w:pPr>
        <w:pStyle w:val="Title"/>
      </w:pPr>
      <w:r>
        <w:t>Aseguramiento de calidad y servicio de posventa</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0"/>
        <w:gridCol w:w="2847"/>
        <w:gridCol w:w="2440"/>
        <w:gridCol w:w="2440"/>
      </w:tblGrid>
      <w:tr>
        <w:trPr>
          <w:tblHeader w:val="true"/>
          <w:cantSplit/>
        </w:trPr>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Código</w:t>
            </w:r>
          </w:p>
        </w:tc>
        <w:tc>
          <w:tcPr>
            <w:tcW w:type="dxa" w:w="2847"/>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Revisión</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Emisión</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Estado</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CC-CP-16</w:t>
            </w:r>
          </w:p>
        </w:tc>
        <w:tc>
          <w:tcPr>
            <w:tcW w:type="dxa" w:w="284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04</w:t>
            </w:r>
          </w:p>
        </w:tc>
        <w:tc>
          <w:tcPr>
            <w:tcW w:type="dxa" w:w="2440"/>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2025-11-03</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Vigente</w:t>
            </w:r>
          </w:p>
        </w:tc>
      </w:tr>
    </w:tbl>
    <w:p>
      <w:pPr>
        <w:spacing w:after="20" w:before="0" w:line="240" w:lineRule="auto"/>
      </w:pPr>
      <w:r>
        <w:rPr>
          <w:sz w:val="4"/>
        </w:rPr>
      </w:r>
    </w:p>
    <w:p>
      <w:pPr>
        <w:spacing w:after="60"/>
      </w:pPr>
      <w:r>
        <w:rPr>
          <w:b/>
        </w:rPr>
        <w:t xml:space="preserve">Tipo y área: </w:t>
      </w:r>
      <w:r>
        <w:t>Caracterización de proceso | Calidad y posventa</w:t>
      </w:r>
    </w:p>
    <w:p>
      <w:pPr>
        <w:spacing w:after="60"/>
      </w:pPr>
      <w:r>
        <w:rPr>
          <w:b/>
        </w:rPr>
        <w:t xml:space="preserve">Responsable: </w:t>
      </w:r>
      <w:r>
        <w:t>Ricardo Muñoz | Líder de Calidad y posventa</w:t>
      </w:r>
    </w:p>
    <w:p>
      <w:pPr>
        <w:spacing w:after="60"/>
      </w:pPr>
      <w:r>
        <w:rPr>
          <w:b/>
        </w:rPr>
        <w:t xml:space="preserve">Aprobación interna: </w:t>
      </w:r>
      <w:r>
        <w:t>Valentina Ríos</w:t>
      </w:r>
    </w:p>
    <w:p>
      <w:pPr>
        <w:spacing w:before="100"/>
      </w:pPr>
      <w:r>
        <w:t>Calidad verifica los criterios de aceptación, coordina la mejora del sistema y atiende técnicamente garantías y fallas recurrentes. Su alcance conecta recepción, instalación y posventa, manteniendo evidencia de qué se aceptó, qué falló y cómo se evitó la repetición.</w:t>
      </w:r>
    </w:p>
    <w:p>
      <w:r>
        <w:rPr>
          <w:sz w:val="18"/>
        </w:rPr>
        <w:t>Referencia temática ISO 9001:2015: 7.1.5, 8.4, 8.6, 8.7, 9.1, 9.2, 10.2, 10.3.</w:t>
      </w:r>
    </w:p>
    <w:p>
      <w:pPr>
        <w:pStyle w:val="Heading1"/>
      </w:pPr>
      <w:r>
        <w:t>Alcance y límites</w:t>
      </w:r>
    </w:p>
    <w:p>
      <w:r>
        <w:t>Servicio al cliente recibe y comunica los reclamos; Calidad determina su tratamiento técnico y la necesidad de acción correctiva. Compras selecciona y evalúa proveedores con los datos de defectos recibidos. Montaje ejecuta la instalación y aporta sus comprobaciones; la revisión de Calidad no reemplaza su responsabilidad de cumplir las especificaciones del proyecto.</w:t>
      </w:r>
    </w:p>
    <w:p>
      <w:pPr>
        <w:pStyle w:val="Heading1"/>
      </w:pPr>
      <w:r>
        <w:t>Entradas resultados e interfaces</w:t>
      </w:r>
    </w:p>
    <w:p>
      <w:r>
        <w:t>Se reciben fichas de equipos, requisitos aceptados, controles de recepción, reportes de instalación, garantías y resultados de auditoría. Se emiten liberaciones, restricciones, análisis de causas y recomendaciones de mejora. En una garantía se conserva relación entre cliente, serie, entrega y revisión técnica; la ausencia de un dato se registra antes de decidir, sin completar la historia por suposición.</w:t>
      </w:r>
    </w:p>
    <w:p>
      <w:pPr>
        <w:pStyle w:val="Heading1"/>
      </w:pPr>
      <w:r>
        <w:t>Responsabilidad y autoridad</w:t>
      </w:r>
    </w:p>
    <w:p>
      <w:r>
        <w:t>Ricardo Muñoz puede detener la liberación cuando falte evidencia o exista una desviación. Los líderes corrigen sus procesos y presentan resultados; Calidad verifica la eficacia. Los auditores se asignan de modo que no evalúen su propio trabajo. Una concesión requiere autoridad definida y aceptación del cliente cuando altere lo convenido, sin invalidar restricciones técnicas aplicables.</w:t>
      </w:r>
    </w:p>
    <w:p>
      <w:pPr>
        <w:pStyle w:val="Heading1"/>
      </w:pPr>
      <w:r>
        <w:t>Actividades y criterios</w:t>
      </w:r>
    </w:p>
    <w:p>
      <w:pPr>
        <w:ind w:left="216" w:hanging="216"/>
      </w:pPr>
      <w:r>
        <w:t>1. Acordar con Diseño y Montaje los puntos de aceptación, valores o tolerancias del fabricante y evidencia requerida antes de ejecutar el proyecto.</w:t>
      </w:r>
    </w:p>
    <w:p>
      <w:pPr>
        <w:ind w:left="216" w:hanging="216"/>
      </w:pPr>
      <w:r>
        <w:t>2. Verificar los instrumentos utilizados para aceptar resultados. Identificar equipo, rango, estado y necesidad de calibración o verificación según su uso; retirar el equipo vencido o dañado.</w:t>
      </w:r>
    </w:p>
    <w:p>
      <w:pPr>
        <w:ind w:left="216" w:hanging="216"/>
      </w:pPr>
      <w:r>
        <w:t>3. Contratar, cuando corresponda, un laboratorio competente y revisar el certificado recibido, identificación del instrumento, resultados e incertidumbre relevante para la decisión.</w:t>
      </w:r>
    </w:p>
    <w:p>
      <w:pPr>
        <w:ind w:left="216" w:hanging="216"/>
      </w:pPr>
      <w:r>
        <w:t>4. Inspeccionar las evidencias de recepción o instalación. Si un criterio no se cumple, identificar y separar la salida afectada, registrar CC-FO-02 y definir disposición.</w:t>
      </w:r>
    </w:p>
    <w:p>
      <w:pPr>
        <w:ind w:left="216" w:hanging="216"/>
      </w:pPr>
      <w:r>
        <w:t>5. Tramitar garantías con diagnóstico, decisión, autorización y comprobación del servicio. Mantener a Servicio al cliente informado para dar una sola respuesta al usuario.</w:t>
      </w:r>
    </w:p>
    <w:p>
      <w:pPr>
        <w:ind w:left="216" w:hanging="216"/>
      </w:pPr>
      <w:r>
        <w:t>6. Analizar no conformidades recurrentes según CC-PR-04. Diferenciar corrección inmediata de acción sobre la causa y comprobar después si la falla reaparece.</w:t>
      </w:r>
    </w:p>
    <w:p>
      <w:pPr>
        <w:ind w:left="216" w:hanging="216"/>
      </w:pPr>
      <w:r>
        <w:t>7. Programar auditoría interna conforme a CC-PR-03 y llevar resultados, tendencias y necesidades a la revisión de Dirección.</w:t>
      </w:r>
    </w:p>
    <w:p>
      <w:pPr>
        <w:pStyle w:val="Heading1"/>
      </w:pPr>
      <w:r>
        <w:t>Riesgos y controles</w:t>
      </w:r>
    </w:p>
    <w:p>
      <w:pPr>
        <w:pStyle w:val="ListBullet"/>
      </w:pPr>
      <w:r>
        <w:t>Aceptar con un instrumento no apto: revisar su estado antes del uso y evaluar resultados anteriores cuando se descubra una desviación de medición.</w:t>
      </w:r>
    </w:p>
    <w:p>
      <w:pPr>
        <w:pStyle w:val="ListBullet"/>
      </w:pPr>
      <w:r>
        <w:t>Cerrar una garantía sin comprobar reparación: exigir resultado técnico y confirmación de la entrega; un repuesto despachado no equivale a solución aceptada.</w:t>
      </w:r>
    </w:p>
    <w:p>
      <w:pPr>
        <w:pStyle w:val="ListBullet"/>
      </w:pPr>
      <w:r>
        <w:t>Acciones correctivas sin eficacia: definir desde el inicio una fecha y evidencia para revisar la no recurrencia.</w:t>
      </w:r>
    </w:p>
    <w:p>
      <w:pPr>
        <w:pStyle w:val="Heading1"/>
      </w:pPr>
      <w:r>
        <w:t>Indicadores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43"/>
        <w:gridCol w:w="4270"/>
        <w:gridCol w:w="3253"/>
      </w:tblGrid>
      <w:tr>
        <w:trPr>
          <w:tblHeader w:val="true"/>
          <w:cantSplit/>
        </w:trPr>
        <w:tc>
          <w:tcPr>
            <w:tcW w:type="dxa" w:w="264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Indicador y fórmula</w:t>
            </w:r>
          </w:p>
        </w:tc>
        <w:tc>
          <w:tcPr>
            <w:tcW w:type="dxa" w:w="427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Meta</w:t>
            </w:r>
          </w:p>
        </w:tc>
        <w:tc>
          <w:tcPr>
            <w:tcW w:type="dxa" w:w="325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Frecuencia y responsable</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Devoluciones = órdenes B2C con devolución / órdenes B2C registradas en el período × 100; contar cada orden una vez</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3 % o menos</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Mensual | Ricardo Muñoz</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Acciones eficaces = acciones sin recurrencia en ventana acordada / acciones verificadas × 100</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90 % o más</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Trimestral | Ricardo Muñoz</w:t>
            </w:r>
          </w:p>
        </w:tc>
      </w:tr>
    </w:tbl>
    <w:p>
      <w:pPr>
        <w:spacing w:after="20" w:before="0" w:line="240" w:lineRule="auto"/>
      </w:pPr>
      <w:r>
        <w:rPr>
          <w:sz w:val="4"/>
        </w:rPr>
      </w:r>
    </w:p>
    <w:p>
      <w:pPr>
        <w:pStyle w:val="Heading1"/>
      </w:pPr>
      <w:r>
        <w:t>Recursos y registros</w:t>
      </w:r>
    </w:p>
    <w:p>
      <w:r>
        <w:t>Se emplean instrumentos identificados, manuales del fabricante, repuestos y personal habilitado. CC-RG-03 conserva la liberación y posventa del proyecto de muestra; CC-RG-04 reúne ejemplos de auditoría y seguimiento; CC-RG-05 incluye registros de equipos. Los informes de laboratorio presentes en la simulación son ejemplos internos ficticios, no certificados emitidos por una entidad real.</w:t>
      </w:r>
    </w:p>
    <w:p>
      <w:pPr>
        <w:pStyle w:val="Heading1"/>
      </w:pPr>
      <w:r>
        <w:t>Condición de cierre</w:t>
      </w:r>
    </w:p>
    <w:p>
      <w:r>
        <w:t>Una no conformidad termina cuando su disposición está aprobada y la evidencia de eficacia corresponde a la causa investigada. Los casos pendientes permanecen visibles en el tablero. Para 2025, la referencia anual de devoluciones es 3,2 % y la de satisfacción 86 sobre 100; esos resultados no se convierten en metas cumplidas por redondeo.</w:t>
      </w:r>
    </w:p>
    <w:p>
      <w:pPr>
        <w:pStyle w:val="Heading1"/>
      </w:pPr>
      <w:r>
        <w:t>Documentos relacionados</w:t>
      </w:r>
    </w:p>
    <w:p>
      <w:r>
        <w:t>CC-CP-01 | CC-CP-09 | CC-CP-12 | CC-CP-13 | CC-CP-15 | CC-PR-03 | CC-PR-04 | CC-FO-02 | CC-RG-03 | CC-RG-04 | CC-RG-05</w:t>
      </w:r>
    </w:p>
    <w:p>
      <w:pPr>
        <w:pStyle w:val="Heading1"/>
      </w:pPr>
      <w:r>
        <w:t>Historial de cambios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43"/>
        <w:gridCol w:w="4270"/>
        <w:gridCol w:w="3253"/>
      </w:tblGrid>
      <w:tr>
        <w:trPr>
          <w:tblHeader w:val="true"/>
          <w:cantSplit/>
        </w:trPr>
        <w:tc>
          <w:tcPr>
            <w:tcW w:type="dxa" w:w="264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Revisión</w:t>
            </w:r>
          </w:p>
        </w:tc>
        <w:tc>
          <w:tcPr>
            <w:tcW w:type="dxa" w:w="427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Fecha</w:t>
            </w:r>
          </w:p>
        </w:tc>
        <w:tc>
          <w:tcPr>
            <w:tcW w:type="dxa" w:w="325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Cambio registrado</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04</w:t>
            </w:r>
          </w:p>
        </w:tc>
        <w:tc>
          <w:tcPr>
            <w:tcW w:type="dxa" w:w="4270"/>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2025-11-03</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Se precisa la evaluación del instrumento y la separación entre corrección y verificación de eficacia.</w:t>
            </w:r>
          </w:p>
        </w:tc>
      </w:tr>
    </w:tbl>
    <w:p>
      <w:pPr>
        <w:spacing w:after="20" w:before="0" w:line="240" w:lineRule="auto"/>
      </w:pPr>
      <w:r>
        <w:rPr>
          <w:sz w:val="4"/>
        </w:rPr>
      </w:r>
    </w:p>
    <w:p>
      <w:r>
        <w:br w:type="page"/>
      </w:r>
    </w:p>
    <w:p>
      <w:pPr>
        <w:pStyle w:val="Title"/>
      </w:pPr>
      <w:r>
        <w:t>Gestión contractual y seguimiento de compromisos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0"/>
        <w:gridCol w:w="2847"/>
        <w:gridCol w:w="2440"/>
        <w:gridCol w:w="2440"/>
      </w:tblGrid>
      <w:tr>
        <w:trPr>
          <w:tblHeader w:val="true"/>
          <w:cantSplit/>
        </w:trPr>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Código</w:t>
            </w:r>
          </w:p>
        </w:tc>
        <w:tc>
          <w:tcPr>
            <w:tcW w:type="dxa" w:w="2847"/>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Revisión</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Emisión</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Estado</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CC-CP-17</w:t>
            </w:r>
          </w:p>
        </w:tc>
        <w:tc>
          <w:tcPr>
            <w:tcW w:type="dxa" w:w="284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02</w:t>
            </w:r>
          </w:p>
        </w:tc>
        <w:tc>
          <w:tcPr>
            <w:tcW w:type="dxa" w:w="2440"/>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2025-05-19</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Vigente</w:t>
            </w:r>
          </w:p>
        </w:tc>
      </w:tr>
    </w:tbl>
    <w:p>
      <w:pPr>
        <w:spacing w:after="20" w:before="0" w:line="240" w:lineRule="auto"/>
      </w:pPr>
      <w:r>
        <w:rPr>
          <w:sz w:val="4"/>
        </w:rPr>
      </w:r>
    </w:p>
    <w:p>
      <w:pPr>
        <w:spacing w:after="60"/>
      </w:pPr>
      <w:r>
        <w:rPr>
          <w:b/>
        </w:rPr>
        <w:t xml:space="preserve">Tipo y área: </w:t>
      </w:r>
      <w:r>
        <w:t>Caracterización de proceso | Legal y cumplimiento</w:t>
      </w:r>
    </w:p>
    <w:p>
      <w:pPr>
        <w:spacing w:after="60"/>
      </w:pPr>
      <w:r>
        <w:rPr>
          <w:b/>
        </w:rPr>
        <w:t xml:space="preserve">Responsable: </w:t>
      </w:r>
      <w:r>
        <w:t>Natalia Escobar | Líder de Legal y cumplimiento</w:t>
      </w:r>
    </w:p>
    <w:p>
      <w:pPr>
        <w:spacing w:after="60"/>
      </w:pPr>
      <w:r>
        <w:rPr>
          <w:b/>
        </w:rPr>
        <w:t xml:space="preserve">Aprobación interna: </w:t>
      </w:r>
      <w:r>
        <w:t>Valentina Ríos</w:t>
      </w:r>
    </w:p>
    <w:p>
      <w:pPr>
        <w:spacing w:before="100"/>
      </w:pPr>
      <w:r>
        <w:t>Legal organiza la revisión de compromisos que afectan al cliente, a proveedores y a la información de Company Co. Su intervención busca que la oferta, el contrato y la operación describan el mismo alcance y que las excepciones queden autorizadas y localizables.</w:t>
      </w:r>
    </w:p>
    <w:p>
      <w:r>
        <w:rPr>
          <w:sz w:val="18"/>
        </w:rPr>
        <w:t>Referencia temática ISO 9001:2015: 4.2, 6.1, 7.5, 8.2, 8.4, 8.5.3, 8.5.6.</w:t>
      </w:r>
    </w:p>
    <w:p>
      <w:pPr>
        <w:pStyle w:val="Heading1"/>
      </w:pPr>
      <w:r>
        <w:t>Alcance y criterio general</w:t>
      </w:r>
    </w:p>
    <w:p>
      <w:r>
        <w:t>El proceso comprende contratos, anexos, cambios relevantes, autorizaciones de uso de información y seguimiento de compromisos. La revisión se realiza antes de aceptar condiciones fuera del modelo aprobado o de ceder derechos sobre diseños, datos o equipos. La documentación operativa no sustituye la evaluación particular de las obligaciones aplicables a cada negocio.</w:t>
      </w:r>
    </w:p>
    <w:p>
      <w:pPr>
        <w:pStyle w:val="Heading1"/>
      </w:pPr>
      <w:r>
        <w:t>Entradas resultados e interfaces</w:t>
      </w:r>
    </w:p>
    <w:p>
      <w:r>
        <w:t>Ventas B2B y Compras remiten propuestas y condiciones; Diseño y Consultoría precisan entregables; Finanzas confirma el esquema económico; Tecnología informa tratamientos de datos o cambios de acceso. Legal entrega observaciones, condiciones aceptables y asuntos que deben escalarse. Las especificaciones técnicas siguen bajo responsabilidad de quienes tienen competencia para verificarlas.</w:t>
      </w:r>
    </w:p>
    <w:p>
      <w:pPr>
        <w:pStyle w:val="Heading1"/>
      </w:pPr>
      <w:r>
        <w:t>Responsabilidades</w:t>
      </w:r>
    </w:p>
    <w:p>
      <w:r>
        <w:t>Natalia Escobar asigna la revisión y registra su conclusión. El dueño del negocio proporciona información completa y negocia dentro de lo autorizado. Valentina Ríos decide las excepciones que comprometen recursos o límites corporativos. Nadie convierte una opinión preliminar en aprobación final; el registro debe distinguir revisión, aceptación comercial y autorización de firma.</w:t>
      </w:r>
    </w:p>
    <w:p>
      <w:pPr>
        <w:pStyle w:val="Heading1"/>
      </w:pPr>
      <w:r>
        <w:t>Actividades y controles</w:t>
      </w:r>
    </w:p>
    <w:p>
      <w:pPr>
        <w:ind w:left="216" w:hanging="216"/>
      </w:pPr>
      <w:r>
        <w:t>1. Recibir el documento con versión, contraparte, propósito, plazo y responsable interno. Si faltan anexos que definen el alcance, dejar la revisión pendiente y solicitar la copia exacta.</w:t>
      </w:r>
    </w:p>
    <w:p>
      <w:pPr>
        <w:ind w:left="216" w:hanging="216"/>
      </w:pPr>
      <w:r>
        <w:t>2. Comparar oferta, contrato y requerimientos operativos. Identificar diferencias de precio, entrega, garantía, responsabilidades, aceptación y propiedad de los resultados.</w:t>
      </w:r>
    </w:p>
    <w:p>
      <w:pPr>
        <w:ind w:left="216" w:hanging="216"/>
      </w:pPr>
      <w:r>
        <w:t>3. Consultar a las áreas sobre viabilidad y obligaciones específicas. Registrar la fuente y fecha de la validación, sin reutilizar una conclusión antigua como respuesta universal.</w:t>
      </w:r>
    </w:p>
    <w:p>
      <w:pPr>
        <w:ind w:left="216" w:hanging="216"/>
      </w:pPr>
      <w:r>
        <w:t>4. Devolver observaciones y negociar cambios con trazabilidad. La versión aceptada debe incorporar los anexos citados y la autorización del responsable correspondiente.</w:t>
      </w:r>
    </w:p>
    <w:p>
      <w:pPr>
        <w:ind w:left="216" w:hanging="216"/>
      </w:pPr>
      <w:r>
        <w:t>5. Registrar vencimientos, renovaciones y compromisos especiales. Entregar a las áreas un resumen de lo que deben ejecutar, conservando el contrato como referencia principal.</w:t>
      </w:r>
    </w:p>
    <w:p>
      <w:pPr>
        <w:ind w:left="216" w:hanging="216"/>
      </w:pPr>
      <w:r>
        <w:t>6. Revisar solicitudes de cambio mediante CC-FO-01 cuando modifiquen alcance, aceptación o responsabilidades. Mantener la relación con la versión anterior.</w:t>
      </w:r>
    </w:p>
    <w:p>
      <w:pPr>
        <w:ind w:left="216" w:hanging="216"/>
      </w:pPr>
      <w:r>
        <w:t>7. En una reclamación, preservar documentos y comunicaciones pertinentes, asignar responsable y coordinar la respuesta con Servicio al cliente y Calidad.</w:t>
      </w:r>
    </w:p>
    <w:p>
      <w:pPr>
        <w:pStyle w:val="Heading1"/>
      </w:pPr>
      <w:r>
        <w:t>Riesgos y controles</w:t>
      </w:r>
    </w:p>
    <w:p>
      <w:pPr>
        <w:pStyle w:val="ListBullet"/>
      </w:pPr>
      <w:r>
        <w:t>Uso de un contrato desactualizado: consultar CC-LM-01 y verificar versión antes de enviar; una copia local no demuestra vigencia.</w:t>
      </w:r>
    </w:p>
    <w:p>
      <w:pPr>
        <w:pStyle w:val="ListBullet"/>
      </w:pPr>
      <w:r>
        <w:t>Compromiso imposible de cumplir: obtener confirmación de capacidad del área técnica y de recursos de Finanzas antes de la aceptación.</w:t>
      </w:r>
    </w:p>
    <w:p>
      <w:pPr>
        <w:pStyle w:val="ListBullet"/>
      </w:pPr>
      <w:r>
        <w:t>Pérdida de evidencia durante una disputa: suspender la eliminación de documentos relacionados y comunicar la retención a los custodios.</w:t>
      </w:r>
    </w:p>
    <w:p>
      <w:pPr>
        <w:pStyle w:val="ListBullet"/>
      </w:pPr>
      <w:r>
        <w:t>Datos compartidos sin finalidad clara: revisar necesidad, destinatario y permisos; coordinar restricciones con Tecnología.</w:t>
      </w:r>
    </w:p>
    <w:p>
      <w:pPr>
        <w:pStyle w:val="Heading1"/>
      </w:pPr>
      <w:r>
        <w:t>Indicadores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43"/>
        <w:gridCol w:w="4270"/>
        <w:gridCol w:w="3253"/>
      </w:tblGrid>
      <w:tr>
        <w:trPr>
          <w:tblHeader w:val="true"/>
          <w:cantSplit/>
        </w:trPr>
        <w:tc>
          <w:tcPr>
            <w:tcW w:type="dxa" w:w="264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Indicador y fórmula</w:t>
            </w:r>
          </w:p>
        </w:tc>
        <w:tc>
          <w:tcPr>
            <w:tcW w:type="dxa" w:w="427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Meta</w:t>
            </w:r>
          </w:p>
        </w:tc>
        <w:tc>
          <w:tcPr>
            <w:tcW w:type="dxa" w:w="325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Frecuencia y responsable</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Revisiones previas = contratos sujetos a revisión aprobados antes de aceptación / contratos sujetos a revisión × 100</w:t>
            </w:r>
          </w:p>
        </w:tc>
        <w:tc>
          <w:tcPr>
            <w:tcW w:type="dxa" w:w="4270"/>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100 %</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Mensual | Natalia Escobar</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Compromisos atendidos en plazo = compromisos cumplidos a tiempo / compromisos vencidos en el periodo × 100</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95 % o más</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Mensual | Natalia Escobar</w:t>
            </w:r>
          </w:p>
        </w:tc>
      </w:tr>
    </w:tbl>
    <w:p>
      <w:pPr>
        <w:spacing w:after="20" w:before="0" w:line="240" w:lineRule="auto"/>
      </w:pPr>
      <w:r>
        <w:rPr>
          <w:sz w:val="4"/>
        </w:rPr>
      </w:r>
    </w:p>
    <w:p>
      <w:pPr>
        <w:pStyle w:val="Heading1"/>
      </w:pPr>
      <w:r>
        <w:t>Recursos y registros</w:t>
      </w:r>
    </w:p>
    <w:p>
      <w:r>
        <w:t>Se emplean modelos controlados, registro de compromisos y asesoría especializada cuando el asunto lo requiera. CC-RG-01 contiene una muestra comercial y CC-RG-02 una de compra; no representan todos los contratos. Las reglas de conservación del paquete son decisiones internas de la simulación y deben distinguirse de obligaciones externas verificadas.</w:t>
      </w:r>
    </w:p>
    <w:p>
      <w:pPr>
        <w:pStyle w:val="Heading1"/>
      </w:pPr>
      <w:r>
        <w:t>Cierre y conservación</w:t>
      </w:r>
    </w:p>
    <w:p>
      <w:r>
        <w:t>La revisión cierra cuando existe una versión identificada, las observaciones se han resuelto y el responsable recibe las condiciones operativas. Un contrato terminado puede conservar obligaciones pendientes. El archivo se coordina con Calidad y Tecnología para mantener integridad, acceso limitado y disponibilidad de las versiones necesarias.</w:t>
      </w:r>
    </w:p>
    <w:p>
      <w:pPr>
        <w:pStyle w:val="Heading1"/>
      </w:pPr>
      <w:r>
        <w:t>Documentos relacionados</w:t>
      </w:r>
    </w:p>
    <w:p>
      <w:r>
        <w:t>CC-CP-01 | CC-CP-02 | CC-CP-06 | CC-CP-09 | CC-CP-13 | CC-CP-14 | CC-CP-15 | CC-PR-01 | CC-FO-01 | CC-RG-01 | CC-RG-02 | CC-LM-01</w:t>
      </w:r>
    </w:p>
    <w:p>
      <w:pPr>
        <w:pStyle w:val="Heading1"/>
      </w:pPr>
      <w:r>
        <w:t>Historial de cambios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43"/>
        <w:gridCol w:w="4270"/>
        <w:gridCol w:w="3253"/>
      </w:tblGrid>
      <w:tr>
        <w:trPr>
          <w:tblHeader w:val="true"/>
          <w:cantSplit/>
        </w:trPr>
        <w:tc>
          <w:tcPr>
            <w:tcW w:type="dxa" w:w="264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Revisión</w:t>
            </w:r>
          </w:p>
        </w:tc>
        <w:tc>
          <w:tcPr>
            <w:tcW w:type="dxa" w:w="427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Fecha</w:t>
            </w:r>
          </w:p>
        </w:tc>
        <w:tc>
          <w:tcPr>
            <w:tcW w:type="dxa" w:w="325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Cambio registrado</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02</w:t>
            </w:r>
          </w:p>
        </w:tc>
        <w:tc>
          <w:tcPr>
            <w:tcW w:type="dxa" w:w="4270"/>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2025-05-19</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Se diferencia revisión jurídica, aceptación comercial y autorización de la versión final.</w:t>
            </w:r>
          </w:p>
        </w:tc>
      </w:tr>
    </w:tbl>
    <w:p>
      <w:pPr>
        <w:spacing w:after="20" w:before="0" w:line="240" w:lineRule="auto"/>
      </w:pPr>
      <w:r>
        <w:rPr>
          <w:sz w:val="4"/>
        </w:rPr>
      </w:r>
    </w:p>
    <w:p>
      <w:r>
        <w:br w:type="page"/>
      </w:r>
    </w:p>
    <w:p>
      <w:pPr>
        <w:pStyle w:val="Title"/>
      </w:pPr>
      <w:r>
        <w:t>Control de documentos y registros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0"/>
        <w:gridCol w:w="2847"/>
        <w:gridCol w:w="2440"/>
        <w:gridCol w:w="2440"/>
      </w:tblGrid>
      <w:tr>
        <w:trPr>
          <w:tblHeader w:val="true"/>
          <w:cantSplit/>
        </w:trPr>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Código</w:t>
            </w:r>
          </w:p>
        </w:tc>
        <w:tc>
          <w:tcPr>
            <w:tcW w:type="dxa" w:w="2847"/>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Revisión</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Emisión</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Estado</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CC-PR-01</w:t>
            </w:r>
          </w:p>
        </w:tc>
        <w:tc>
          <w:tcPr>
            <w:tcW w:type="dxa" w:w="284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03</w:t>
            </w:r>
          </w:p>
        </w:tc>
        <w:tc>
          <w:tcPr>
            <w:tcW w:type="dxa" w:w="2440"/>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2025-05-05</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Vigente</w:t>
            </w:r>
          </w:p>
        </w:tc>
      </w:tr>
    </w:tbl>
    <w:p>
      <w:pPr>
        <w:spacing w:after="20" w:before="0" w:line="240" w:lineRule="auto"/>
      </w:pPr>
      <w:r>
        <w:rPr>
          <w:sz w:val="4"/>
        </w:rPr>
      </w:r>
    </w:p>
    <w:p>
      <w:pPr>
        <w:spacing w:after="60"/>
      </w:pPr>
      <w:r>
        <w:rPr>
          <w:b/>
        </w:rPr>
        <w:t xml:space="preserve">Tipo y área: </w:t>
      </w:r>
      <w:r>
        <w:t>Procedimiento | Calidad y posventa</w:t>
      </w:r>
    </w:p>
    <w:p>
      <w:pPr>
        <w:spacing w:after="60"/>
      </w:pPr>
      <w:r>
        <w:rPr>
          <w:b/>
        </w:rPr>
        <w:t xml:space="preserve">Responsable: </w:t>
      </w:r>
      <w:r>
        <w:t>Ricardo Muñoz</w:t>
      </w:r>
    </w:p>
    <w:p>
      <w:pPr>
        <w:spacing w:after="60"/>
      </w:pPr>
      <w:r>
        <w:rPr>
          <w:b/>
        </w:rPr>
        <w:t xml:space="preserve">Aprobación interna: </w:t>
      </w:r>
      <w:r>
        <w:t>Valentina Ríos</w:t>
      </w:r>
    </w:p>
    <w:p>
      <w:pPr>
        <w:spacing w:before="100"/>
      </w:pPr>
      <w:r>
        <w:t>Este procedimiento establece cómo se identifica y aprueba la información, cómo se controla su revisión y cómo se conservan las evidencias. La revisión 03 reemplaza a la 02 desde el 5 de mayo de 2025.</w:t>
      </w:r>
    </w:p>
    <w:p>
      <w:r>
        <w:rPr>
          <w:sz w:val="18"/>
        </w:rPr>
        <w:t>Referencia temática ISO 9001:2015: 7.5.</w:t>
      </w:r>
    </w:p>
    <w:p>
      <w:pPr>
        <w:pStyle w:val="Heading1"/>
      </w:pPr>
      <w:r>
        <w:t>Objeto y cobertura</w:t>
      </w:r>
    </w:p>
    <w:p>
      <w:r>
        <w:t>Asegurar que cada persona use información vigente y que los resultados de la operación puedan recuperarse. Aplica a manuales, fichas de proceso, procedimientos, matrices, formatos vacíos, registros diligenciados e información externa necesaria para diseñar, comprar, instalar y mantener equipos. Incluye archivos digitales y copias impresas.</w:t>
      </w:r>
    </w:p>
    <w:p>
      <w:pPr>
        <w:pStyle w:val="Heading1"/>
      </w:pPr>
      <w:r>
        <w:t>Identificación y responsabilidades</w:t>
      </w:r>
    </w:p>
    <w:p>
      <w:r>
        <w:t>El código CC identifica a Company Co. MC corresponde a manual; CP, caracterización de proceso; PR, procedimiento; MT, matriz; AC, acta; RG, registro o expediente; FO, formato; LM, listado maestro; y AN, anexo. El consecutivo identifica al documento, no a su revisión. El propietario prepara y mantiene el contenido; otra persona competente revisa su uso; la autoridad designada aprueba antes de publicarlo.</w:t>
      </w:r>
    </w:p>
    <w:p>
      <w:r>
        <w:t>Calidad actualiza CC-LM-01 y conserva la evidencia de aprobación. Tecnología aplica permisos y respaldo; los líderes retiran las copias antiguas en su área. Los formatos diligenciados conservan la revisión del formato utilizada, aunque luego exista una nueva.</w:t>
      </w:r>
    </w:p>
    <w:p>
      <w:pPr>
        <w:pStyle w:val="Heading1"/>
      </w:pPr>
      <w:r>
        <w:t>Emisión y modificación</w:t>
      </w:r>
    </w:p>
    <w:p>
      <w:pPr>
        <w:ind w:left="216" w:hanging="216"/>
      </w:pPr>
      <w:r>
        <w:t>1. El solicitante identifica el problema, el documento afectado y los usuarios en CC-FO-01. Si el cambio afecta un compromiso comercial, también informa el proyecto o pedido.</w:t>
      </w:r>
    </w:p>
    <w:p>
      <w:pPr>
        <w:ind w:left="216" w:hanging="216"/>
      </w:pPr>
      <w:r>
        <w:t>2. El propietario revisa los documentos relacionados, redacta el cambio y marca una revisión candidata. Comprueba códigos, fórmulas, referencias, fechas y criterios de aceptación. Un cambio de ortografía sin efecto en la operación se registra igualmente en el historial.</w:t>
      </w:r>
    </w:p>
    <w:p>
      <w:pPr>
        <w:ind w:left="216" w:hanging="216"/>
      </w:pPr>
      <w:r>
        <w:t>3. El revisor comprueba la comprensión con una persona usuaria y verifica que no existan instrucciones contradictorias. Devuelve observaciones al propietario hasta resolverlas.</w:t>
      </w:r>
    </w:p>
    <w:p>
      <w:pPr>
        <w:ind w:left="216" w:hanging="216"/>
      </w:pPr>
      <w:r>
        <w:t>4. El aprobador autoriza la revisión y su fecha de entrada en vigor. Una aprobación pendiente no se presume por el nombre que aparece en la portada. El archivo candidato permanece como Borrador.</w:t>
      </w:r>
    </w:p>
    <w:p>
      <w:pPr>
        <w:ind w:left="216" w:hanging="216"/>
      </w:pPr>
      <w:r>
        <w:t>5. Calidad publica la revisión vigente y cambia el listado maestro. Retira el acceso operativo a la anterior, conservándola en el archivo histórico con estado Obsoleto.</w:t>
      </w:r>
    </w:p>
    <w:p>
      <w:pPr>
        <w:ind w:left="216" w:hanging="216"/>
      </w:pPr>
      <w:r>
        <w:t>6. El líder comunica el cambio a las personas afectadas y, si cambia una operación crítica, obtiene evidencia de comprensión antes de usarlo. Registra quién recibió la comunicación y cuándo.</w:t>
      </w:r>
    </w:p>
    <w:p>
      <w:pPr>
        <w:ind w:left="216" w:hanging="216"/>
      </w:pPr>
      <w:r>
        <w:t>7. Al cierre de un proyecto, el responsable comprueba que sus registros estén completos, vinculados a la revisión aplicable y localizables. Los errores en un registro se corrigen conservando la lectura original, autor, motivo y fecha.</w:t>
      </w:r>
    </w:p>
    <w:p>
      <w:pPr>
        <w:pStyle w:val="Heading1"/>
      </w:pPr>
      <w:r>
        <w:t>Conservación y acceso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43"/>
        <w:gridCol w:w="4270"/>
        <w:gridCol w:w="3253"/>
      </w:tblGrid>
      <w:tr>
        <w:trPr>
          <w:tblHeader w:val="true"/>
          <w:cantSplit/>
        </w:trPr>
        <w:tc>
          <w:tcPr>
            <w:tcW w:type="dxa" w:w="264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Clase</w:t>
            </w:r>
          </w:p>
        </w:tc>
        <w:tc>
          <w:tcPr>
            <w:tcW w:type="dxa" w:w="427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Regla interna de conservación</w:t>
            </w:r>
          </w:p>
        </w:tc>
        <w:tc>
          <w:tcPr>
            <w:tcW w:type="dxa" w:w="325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Responsable</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Documentos vigentes</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Disponibles mientras estén vigentes</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Propietario y Calidad</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Revisiones obsoletas</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3 años tras su sustitución</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Calidad</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Expedientes de proyectos y garantías</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5 años después del cierre del servicio</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Líder del proyecto</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Auditorías y acciones correctivas</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5 años desde el cierre</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Calidad</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Formación y competencia</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Vinculación más 3 años</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Talento humano</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Respaldo de registros digitales</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Diario; verificación mensual de restauración</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Tecnología</w:t>
            </w:r>
          </w:p>
        </w:tc>
      </w:tr>
    </w:tbl>
    <w:p>
      <w:pPr>
        <w:spacing w:after="20" w:before="0" w:line="240" w:lineRule="auto"/>
      </w:pPr>
      <w:r>
        <w:rPr>
          <w:sz w:val="4"/>
        </w:rPr>
      </w:r>
    </w:p>
    <w:p>
      <w:pPr>
        <w:pStyle w:val="Heading1"/>
      </w:pPr>
      <w:r>
        <w:t>Documentos externos y copias</w:t>
      </w:r>
    </w:p>
    <w:p>
      <w:r>
        <w:t>El responsable del proceso identifica manuales de fabricante, especificaciones del cliente y documentos contractuales que utiliza. Registra emisor, versión o fecha y fuente de obtención. Si recibe una actualización, evalúa el efecto sobre trabajos en curso antes de reemplazarla.</w:t>
      </w:r>
    </w:p>
    <w:p>
      <w:r>
        <w:t>Las copias impresas controladas llevan código, revisión, fecha de entrega y destinatario. Las impresiones de consulta se consideran no controladas: quien las use confirma su vigencia. Un archivo llamado final o definitivo no prueba su estado. La evidencia de aprobación y el listado maestro prevalecen sobre el nombre del archivo.</w:t>
      </w:r>
    </w:p>
    <w:p>
      <w:pPr>
        <w:pStyle w:val="Heading1"/>
      </w:pPr>
      <w:r>
        <w:t>Verificación y excepciones</w:t>
      </w:r>
    </w:p>
    <w:p>
      <w:r>
        <w:t>Calidad revisa mensualmente una muestra de diez documentos y cinco expedientes cerrados. La meta es al menos 98 % de documentos muestreados con revisión y aprobación correctas y 95 % de registros recuperados en cinco minutos. Si aparece una versión antigua en uso, contiene el caso, determina los trabajos afectados y abre CC-FO-02 cuando exista efecto en la conformidad.</w:t>
      </w:r>
    </w:p>
    <w:p>
      <w:r>
        <w:t>Un registro incompleto se conserva como tal y se solicita el dato a su responsable. No se inventan fechas, firmas ni resultados para completar casillas. Los documentos con retención contractual especial se bloquean para eliminación hasta la decisión de Legal.</w:t>
      </w:r>
    </w:p>
    <w:p>
      <w:pPr>
        <w:pStyle w:val="Heading1"/>
      </w:pPr>
      <w:r>
        <w:t>Documentos relacionados</w:t>
      </w:r>
    </w:p>
    <w:p>
      <w:r>
        <w:t>CC-LM-01 | CC-FO-01 | CC-FO-02 | CC-CP-14</w:t>
      </w:r>
    </w:p>
    <w:p>
      <w:pPr>
        <w:pStyle w:val="Heading1"/>
      </w:pPr>
      <w:r>
        <w:t>Historial de cambios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43"/>
        <w:gridCol w:w="4270"/>
        <w:gridCol w:w="3253"/>
      </w:tblGrid>
      <w:tr>
        <w:trPr>
          <w:tblHeader w:val="true"/>
          <w:cantSplit/>
        </w:trPr>
        <w:tc>
          <w:tcPr>
            <w:tcW w:type="dxa" w:w="264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Revisión</w:t>
            </w:r>
          </w:p>
        </w:tc>
        <w:tc>
          <w:tcPr>
            <w:tcW w:type="dxa" w:w="427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Fecha</w:t>
            </w:r>
          </w:p>
        </w:tc>
        <w:tc>
          <w:tcPr>
            <w:tcW w:type="dxa" w:w="325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Cambio registrado</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02</w:t>
            </w:r>
          </w:p>
        </w:tc>
        <w:tc>
          <w:tcPr>
            <w:tcW w:type="dxa" w:w="4270"/>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2024-01-15</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Se incorporaron copias electrónicas y el listado maestro.</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03</w:t>
            </w:r>
          </w:p>
        </w:tc>
        <w:tc>
          <w:tcPr>
            <w:tcW w:type="dxa" w:w="4270"/>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2025-05-05</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Se exigió evidencia de aprobación y retiro verificable de copias obsoletas; se separó la revisión del formato del estado del registro.</w:t>
            </w:r>
          </w:p>
        </w:tc>
      </w:tr>
    </w:tbl>
    <w:p>
      <w:pPr>
        <w:spacing w:after="20" w:before="0" w:line="240" w:lineRule="auto"/>
      </w:pPr>
      <w:r>
        <w:rPr>
          <w:sz w:val="4"/>
        </w:rPr>
      </w:r>
    </w:p>
    <w:p>
      <w:r>
        <w:br w:type="page"/>
      </w:r>
    </w:p>
    <w:p>
      <w:pPr>
        <w:pStyle w:val="Title"/>
      </w:pPr>
      <w:r>
        <w:t>Gestión de riesgos oportunidades y cambios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0"/>
        <w:gridCol w:w="2847"/>
        <w:gridCol w:w="2440"/>
        <w:gridCol w:w="2440"/>
      </w:tblGrid>
      <w:tr>
        <w:trPr>
          <w:tblHeader w:val="true"/>
          <w:cantSplit/>
        </w:trPr>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Código</w:t>
            </w:r>
          </w:p>
        </w:tc>
        <w:tc>
          <w:tcPr>
            <w:tcW w:type="dxa" w:w="2847"/>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Revisión</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Emisión</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Estado</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CC-PR-02</w:t>
            </w:r>
          </w:p>
        </w:tc>
        <w:tc>
          <w:tcPr>
            <w:tcW w:type="dxa" w:w="284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02</w:t>
            </w:r>
          </w:p>
        </w:tc>
        <w:tc>
          <w:tcPr>
            <w:tcW w:type="dxa" w:w="2440"/>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2025-04-08</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Vigente</w:t>
            </w:r>
          </w:p>
        </w:tc>
      </w:tr>
    </w:tbl>
    <w:p>
      <w:pPr>
        <w:spacing w:after="20" w:before="0" w:line="240" w:lineRule="auto"/>
      </w:pPr>
      <w:r>
        <w:rPr>
          <w:sz w:val="4"/>
        </w:rPr>
      </w:r>
    </w:p>
    <w:p>
      <w:pPr>
        <w:spacing w:after="60"/>
      </w:pPr>
      <w:r>
        <w:rPr>
          <w:b/>
        </w:rPr>
        <w:t xml:space="preserve">Tipo y área: </w:t>
      </w:r>
      <w:r>
        <w:t>Procedimiento | Dirección general</w:t>
      </w:r>
    </w:p>
    <w:p>
      <w:pPr>
        <w:spacing w:after="60"/>
      </w:pPr>
      <w:r>
        <w:rPr>
          <w:b/>
        </w:rPr>
        <w:t xml:space="preserve">Responsable: </w:t>
      </w:r>
      <w:r>
        <w:t>Valentina Ríos</w:t>
      </w:r>
    </w:p>
    <w:p>
      <w:pPr>
        <w:spacing w:after="60"/>
      </w:pPr>
      <w:r>
        <w:rPr>
          <w:b/>
        </w:rPr>
        <w:t xml:space="preserve">Aprobación interna: </w:t>
      </w:r>
      <w:r>
        <w:t>Valentina Ríos</w:t>
      </w:r>
    </w:p>
    <w:p>
      <w:pPr>
        <w:spacing w:before="100"/>
      </w:pPr>
      <w:r>
        <w:t>Define una forma común de identificar riesgos y oportunidades y de controlar cambios que afectan la calidad. Se aplica tanto a proyectos como a ventas, soporte y procesos administrativos.</w:t>
      </w:r>
    </w:p>
    <w:p>
      <w:r>
        <w:rPr>
          <w:sz w:val="18"/>
        </w:rPr>
        <w:t>Referencia temática ISO 9001:2015: 4.1, 4.2, 6.1, 6.3, 8.5.6.</w:t>
      </w:r>
    </w:p>
    <w:p>
      <w:pPr>
        <w:pStyle w:val="Heading1"/>
      </w:pPr>
      <w:r>
        <w:t>Propósito y responsables</w:t>
      </w:r>
    </w:p>
    <w:p>
      <w:r>
        <w:t>Priorizar incertidumbres que puedan impedir la conformidad o mejorar el servicio. Cada líder registra sus riesgos y oportunidades; Calidad facilita la comparación; Dirección decide recursos y acepta expresamente los riesgos residuales que excedan la autoridad del proceso. El resultado es una acción integrada a la operación, no una matriz sin responsables.</w:t>
      </w:r>
    </w:p>
    <w:p>
      <w:pPr>
        <w:pStyle w:val="Heading1"/>
      </w:pPr>
      <w:r>
        <w:t>Análisis del contexto</w:t>
      </w:r>
    </w:p>
    <w:p>
      <w:r>
        <w:t>Al inicio del año y ante cambios relevantes, el líder consulta reclamos, indicadores, proveedores, personal, auditorías, capacidad e información contractual. Incluye condiciones climáticas que puedan afectar abastecimiento, rutas, almacenamiento y requisitos del lugar de instalación. Define qué efecto tiene el asunto sobre el resultado del proceso y quién podría verse afectado.</w:t>
      </w:r>
    </w:p>
    <w:p>
      <w:pPr>
        <w:pStyle w:val="Heading1"/>
      </w:pPr>
      <w:r>
        <w:t>Valoración de riesgos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43"/>
        <w:gridCol w:w="4270"/>
        <w:gridCol w:w="3253"/>
      </w:tblGrid>
      <w:tr>
        <w:trPr>
          <w:tblHeader w:val="true"/>
          <w:cantSplit/>
        </w:trPr>
        <w:tc>
          <w:tcPr>
            <w:tcW w:type="dxa" w:w="264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Factor</w:t>
            </w:r>
          </w:p>
        </w:tc>
        <w:tc>
          <w:tcPr>
            <w:tcW w:type="dxa" w:w="427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Escala de referencia</w:t>
            </w:r>
          </w:p>
        </w:tc>
        <w:tc>
          <w:tcPr>
            <w:tcW w:type="dxa" w:w="325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Uso</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Probabilidad P</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1 rara; 2 poco frecuente; 3 posible; 4 frecuente; 5 recurrente</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Se justifica con hechos disponibles</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Impacto I</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1 menor reproceso; 2 demora interna; 3 incumplimiento recuperable; 4 daño contractual importante; 5 riesgo grave para seguridad o continuidad</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Se considera el efecto más relevante</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Prioridad P por I</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1 a 5 baja; 6 a 11 moderada; 12 a 19 alta; 20 a 25 crítica</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Alta y crítica requieren plan y revisión de Dirección</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Residual</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Recalcular después de comprobar el control</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No reducir puntuación solo por programar una acción</w:t>
            </w:r>
          </w:p>
        </w:tc>
      </w:tr>
    </w:tbl>
    <w:p>
      <w:pPr>
        <w:spacing w:after="20" w:before="0" w:line="240" w:lineRule="auto"/>
      </w:pPr>
      <w:r>
        <w:rPr>
          <w:sz w:val="4"/>
        </w:rPr>
      </w:r>
    </w:p>
    <w:p>
      <w:pPr>
        <w:pStyle w:val="Heading1"/>
      </w:pPr>
      <w:r>
        <w:t>Tratamiento y seguimiento</w:t>
      </w:r>
    </w:p>
    <w:p>
      <w:pPr>
        <w:ind w:left="216" w:hanging="216"/>
      </w:pPr>
      <w:r>
        <w:t>1. Describir causa, evento y consecuencia. Registrar el control que ya opera y su evidencia, sin mezclarlo con una acción futura.</w:t>
      </w:r>
    </w:p>
    <w:p>
      <w:pPr>
        <w:ind w:left="216" w:hanging="216"/>
      </w:pPr>
      <w:r>
        <w:t>2. Asignar probabilidad e impacto, indicar el responsable y decidir si se evita, reduce, comparte o acepta el riesgo. Una aceptación no elimina un requisito acordado con el cliente.</w:t>
      </w:r>
    </w:p>
    <w:p>
      <w:pPr>
        <w:ind w:left="216" w:hanging="216"/>
      </w:pPr>
      <w:r>
        <w:t>3. Fijar acción, fecha, recurso y criterio para comprobar el efecto. Si falta presupuesto, elevar la decisión y mantener explícito el control transitorio.</w:t>
      </w:r>
    </w:p>
    <w:p>
      <w:pPr>
        <w:ind w:left="216" w:hanging="216"/>
      </w:pPr>
      <w:r>
        <w:t>4. Vincular la acción con una actividad del proceso, una orden o un cambio documental. El dueño de la acción reporta avance y evidencia en la revisión mensual.</w:t>
      </w:r>
    </w:p>
    <w:p>
      <w:pPr>
        <w:ind w:left="216" w:hanging="216"/>
      </w:pPr>
      <w:r>
        <w:t>5. Reevaluar después de implementar y después de cualquier incidente significativo. Calidad escala acciones vencidas de riesgos altos y críticos a Dirección.</w:t>
      </w:r>
    </w:p>
    <w:p>
      <w:pPr>
        <w:pStyle w:val="Heading1"/>
      </w:pPr>
      <w:r>
        <w:t>Oportunidades</w:t>
      </w:r>
    </w:p>
    <w:p>
      <w:r>
        <w:t>Una oportunidad se registra con beneficio esperado, esfuerzo, responsable y prueba de resultado. No se calcula como un riesgo negativo. Ejemplos: agrupar despachos por ciudad, estandarizar kits de instalación o mejorar la guía de compra electrónica. La aprobación del piloto define límite de gasto, duración y condiciones para detenerlo; el resultado se compara con la línea base.</w:t>
      </w:r>
    </w:p>
    <w:p>
      <w:pPr>
        <w:pStyle w:val="Heading1"/>
      </w:pPr>
      <w:r>
        <w:t>Control de cambios</w:t>
      </w:r>
    </w:p>
    <w:p>
      <w:r>
        <w:t>El solicitante diligencia CC-FO-01 antes de alterar un diseño aprobado, proveedor crítico, software de pedidos, equipo de medición, distribución de personal o condición de servicio. Evalúa alcance, interesados, documentos, existencias, costos, competencias y trabajos ya comprometidos. Los cambios de contrato requieren acuerdo con el cliente cuando afecten su compromiso.</w:t>
      </w:r>
    </w:p>
    <w:p>
      <w:r>
        <w:t>El aprobador define responsable de implementación, revisión técnica, validación necesaria, fecha de entrada, comunicación y posible reversión. Se conserva la versión anterior, se verifica el primer resultado y se cierra solo con evidencia. Una urgencia exige contención y decisión documentada; no convierte una revisión pendiente en una aprobación.</w:t>
      </w:r>
    </w:p>
    <w:p>
      <w:pPr>
        <w:pStyle w:val="Heading1"/>
      </w:pPr>
      <w:r>
        <w:t>Registros y evaluación</w:t>
      </w:r>
    </w:p>
    <w:p>
      <w:r>
        <w:t>CC-MT-01 conserva la evaluación; CC-FO-01 registra el cambio; las actas de Dirección conservan decisiones de recursos. Indicadores: porcentaje de acciones altas o críticas cumplidas a tiempo, meta 95 % mensual; y porcentaje de cambios cerrados con verificación documentada, meta 100 %. Una acción sin evidencia permanece abierta.</w:t>
      </w:r>
    </w:p>
    <w:p>
      <w:pPr>
        <w:pStyle w:val="Heading1"/>
      </w:pPr>
      <w:r>
        <w:t>Documentos relacionados</w:t>
      </w:r>
    </w:p>
    <w:p>
      <w:r>
        <w:t>CC-MT-01 | CC-FO-01 | CC-AC-01</w:t>
      </w:r>
    </w:p>
    <w:p>
      <w:pPr>
        <w:pStyle w:val="Heading1"/>
      </w:pPr>
      <w:r>
        <w:t>Historial de cambios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43"/>
        <w:gridCol w:w="4270"/>
        <w:gridCol w:w="3253"/>
      </w:tblGrid>
      <w:tr>
        <w:trPr>
          <w:tblHeader w:val="true"/>
          <w:cantSplit/>
        </w:trPr>
        <w:tc>
          <w:tcPr>
            <w:tcW w:type="dxa" w:w="264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Revisión</w:t>
            </w:r>
          </w:p>
        </w:tc>
        <w:tc>
          <w:tcPr>
            <w:tcW w:type="dxa" w:w="427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Fecha</w:t>
            </w:r>
          </w:p>
        </w:tc>
        <w:tc>
          <w:tcPr>
            <w:tcW w:type="dxa" w:w="325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Cambio registrado</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02</w:t>
            </w:r>
          </w:p>
        </w:tc>
        <w:tc>
          <w:tcPr>
            <w:tcW w:type="dxa" w:w="4270"/>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2025-04-08</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Ajuste del alcance, responsables y evidencia del ciclo operativo 2025.</w:t>
            </w:r>
          </w:p>
        </w:tc>
      </w:tr>
    </w:tbl>
    <w:p>
      <w:pPr>
        <w:spacing w:after="20" w:before="0" w:line="240" w:lineRule="auto"/>
      </w:pPr>
      <w:r>
        <w:rPr>
          <w:sz w:val="4"/>
        </w:rPr>
      </w:r>
    </w:p>
    <w:p>
      <w:r>
        <w:br w:type="page"/>
      </w:r>
    </w:p>
    <w:p>
      <w:pPr>
        <w:pStyle w:val="Title"/>
      </w:pPr>
      <w:r>
        <w:t>Auditoría interna del sistema de calidad</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0"/>
        <w:gridCol w:w="2847"/>
        <w:gridCol w:w="2440"/>
        <w:gridCol w:w="2440"/>
      </w:tblGrid>
      <w:tr>
        <w:trPr>
          <w:tblHeader w:val="true"/>
          <w:cantSplit/>
        </w:trPr>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Código</w:t>
            </w:r>
          </w:p>
        </w:tc>
        <w:tc>
          <w:tcPr>
            <w:tcW w:type="dxa" w:w="2847"/>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Revisión</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Emisión</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Estado</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CC-PR-03</w:t>
            </w:r>
          </w:p>
        </w:tc>
        <w:tc>
          <w:tcPr>
            <w:tcW w:type="dxa" w:w="284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02</w:t>
            </w:r>
          </w:p>
        </w:tc>
        <w:tc>
          <w:tcPr>
            <w:tcW w:type="dxa" w:w="2440"/>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2025-03-03</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Vigente</w:t>
            </w:r>
          </w:p>
        </w:tc>
      </w:tr>
    </w:tbl>
    <w:p>
      <w:pPr>
        <w:spacing w:after="20" w:before="0" w:line="240" w:lineRule="auto"/>
      </w:pPr>
      <w:r>
        <w:rPr>
          <w:sz w:val="4"/>
        </w:rPr>
      </w:r>
    </w:p>
    <w:p>
      <w:pPr>
        <w:spacing w:after="60"/>
      </w:pPr>
      <w:r>
        <w:rPr>
          <w:b/>
        </w:rPr>
        <w:t xml:space="preserve">Tipo y área: </w:t>
      </w:r>
      <w:r>
        <w:t>Procedimiento | Calidad y posventa</w:t>
      </w:r>
    </w:p>
    <w:p>
      <w:pPr>
        <w:spacing w:after="60"/>
      </w:pPr>
      <w:r>
        <w:rPr>
          <w:b/>
        </w:rPr>
        <w:t xml:space="preserve">Responsable: </w:t>
      </w:r>
      <w:r>
        <w:t>Ricardo Muñoz</w:t>
      </w:r>
    </w:p>
    <w:p>
      <w:pPr>
        <w:spacing w:after="60"/>
      </w:pPr>
      <w:r>
        <w:rPr>
          <w:b/>
        </w:rPr>
        <w:t xml:space="preserve">Aprobación interna: </w:t>
      </w:r>
      <w:r>
        <w:t>Valentina Ríos</w:t>
      </w:r>
    </w:p>
    <w:p>
      <w:pPr>
        <w:spacing w:before="100"/>
      </w:pPr>
      <w:r>
        <w:t>Establece el programa y la ejecución de auditorías internas, la independencia de los auditores y el seguimiento de los hallazgos.</w:t>
      </w:r>
    </w:p>
    <w:p>
      <w:r>
        <w:rPr>
          <w:sz w:val="18"/>
        </w:rPr>
        <w:t>Referencia temática ISO 9001:2015: 9.2.</w:t>
      </w:r>
    </w:p>
    <w:p>
      <w:pPr>
        <w:pStyle w:val="Heading1"/>
      </w:pPr>
      <w:r>
        <w:t>Objetivo y programa</w:t>
      </w:r>
    </w:p>
    <w:p>
      <w:r>
        <w:t>Comprobar mediante muestreo si el sistema funciona como se ha definido y si los controles producen los resultados esperados. El programa anual cubre los 17 procesos y las sedes pertinentes. La prioridad depende del riesgo, cambios, reclamaciones, resultados e incumplimientos anteriores. Una auditoría documental no prueba por sí sola que una actividad se haya realizado.</w:t>
      </w:r>
    </w:p>
    <w:p>
      <w:pPr>
        <w:pStyle w:val="Heading1"/>
      </w:pPr>
      <w:r>
        <w:t>Competencia e independencia</w:t>
      </w:r>
    </w:p>
    <w:p>
      <w:r>
        <w:t>Calidad propone auditores con formación en auditoría y conocimiento suficiente del proceso. Nadie audita su propio trabajo ni cierra su propio hallazgo. Dirección aprueba el programa y resuelve conflictos de independencia. Cuando Calidad sea auditada, Natalia Escobar coordina la revisión con un auditor que no haya gestionado las evidencias seleccionadas.</w:t>
      </w:r>
    </w:p>
    <w:p>
      <w:r>
        <w:t>El plan individual identifica a cada auditor y verifica que no haya preparado ni aprobado la muestra que evalúa. La formación y experiencia se registran antes de asignar el trabajo; el apoyo técnico no sustituye la independencia. Las asignaciones concretas y cualquier sustitución aprobada se conservan en CC-RG-04.</w:t>
      </w:r>
    </w:p>
    <w:p>
      <w:pPr>
        <w:pStyle w:val="Heading1"/>
      </w:pPr>
      <w:r>
        <w:t>Preparación</w:t>
      </w:r>
    </w:p>
    <w:p>
      <w:pPr>
        <w:ind w:left="216" w:hanging="216"/>
      </w:pPr>
      <w:r>
        <w:t>1. Definir objetivo, alcance, criterios, fechas, auditores, personas a entrevistar y muestra prevista. Los criterios son documentos aplicables, compromisos y referencias del sistema.</w:t>
      </w:r>
    </w:p>
    <w:p>
      <w:pPr>
        <w:ind w:left="216" w:hanging="216"/>
      </w:pPr>
      <w:r>
        <w:t>2. Revisar el resultado anterior, cambios y acciones abiertas. Elegir muestras trazables que incluyan al menos una operación con incidencia y una sin incidencia.</w:t>
      </w:r>
    </w:p>
    <w:p>
      <w:pPr>
        <w:ind w:left="216" w:hanging="216"/>
      </w:pPr>
      <w:r>
        <w:t>3. Comunicar el plan con cinco días hábiles internos de anticipación, salvo revisión extraordinaria autorizada. El dueño facilita acceso a la información pertinente sin seleccionar únicamente casos favorables.</w:t>
      </w:r>
    </w:p>
    <w:p>
      <w:pPr>
        <w:pStyle w:val="Heading1"/>
      </w:pPr>
      <w:r>
        <w:t>Ejecución y evidencia</w:t>
      </w:r>
    </w:p>
    <w:p>
      <w:r>
        <w:t>En apertura se confirman alcance, horarios y canales de comunicación. El auditor sigue una operación desde el requisito hasta el resultado y contrasta entrevistas con registros. Identifica código, fecha, revisión y muestra; una declaración oral se registra como tal. Si no se obtiene evidencia suficiente, se declara la limitación y su efecto sobre la conclusión.</w:t>
      </w:r>
    </w:p>
    <w:p>
      <w:r>
        <w:t>Un hallazgo identifica el requisito aplicable, la evidencia observada y la desviación. Las observaciones u oportunidades se distinguen de las no conformidades. La clasificación interna Alta se usa cuando el control falta de forma general o existe efecto relevante; Media corresponde a un incumplimiento localizado. Estas categorías son propias de Company Co.</w:t>
      </w:r>
    </w:p>
    <w:p>
      <w:pPr>
        <w:pStyle w:val="Heading1"/>
      </w:pPr>
      <w:r>
        <w:t>Informe y acciones</w:t>
      </w:r>
    </w:p>
    <w:p>
      <w:r>
        <w:t>En cierre se explican hallazgos y alcance del muestreo; el auditado puede aportar aclaraciones o evidencia adicional. El informe se emite en cinco días hábiles internos y contiene resumen, evidencia, fortalezas, hallazgos y limitaciones. El dueño define contención inmediata si procede, causa y acción según CC-PR-04.</w:t>
      </w:r>
    </w:p>
    <w:p>
      <w:r>
        <w:t>El auditor o una persona independiente verifica la ejecución y la eficacia en una muestra posterior. Una acción implantada puede quedar pendiente de eficacia. Dirección recibe los hallazgos de mayor prioridad y las acciones vencidas. No se declara conformidad completa a partir de una muestra parcial.</w:t>
      </w:r>
    </w:p>
    <w:p>
      <w:pPr>
        <w:pStyle w:val="Heading1"/>
      </w:pPr>
      <w:r>
        <w:t>Seguimiento del programa</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43"/>
        <w:gridCol w:w="4270"/>
        <w:gridCol w:w="3253"/>
      </w:tblGrid>
      <w:tr>
        <w:trPr>
          <w:tblHeader w:val="true"/>
          <w:cantSplit/>
        </w:trPr>
        <w:tc>
          <w:tcPr>
            <w:tcW w:type="dxa" w:w="264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Indicador</w:t>
            </w:r>
          </w:p>
        </w:tc>
        <w:tc>
          <w:tcPr>
            <w:tcW w:type="dxa" w:w="427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Cálculo y meta</w:t>
            </w:r>
          </w:p>
        </w:tc>
        <w:tc>
          <w:tcPr>
            <w:tcW w:type="dxa" w:w="325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Frecuencia</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Cumplimiento</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Auditorías realizadas sobre programadas por 100; meta 100 %</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Trimestral</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Acciones oportunas</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Acciones cerradas dentro del plazo sobre acciones que vencen por 100; meta 95 %</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Mensual</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Eficacia</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Acciones sin recurrencia en muestra posterior sobre acciones verificadas por 100; meta 90 %</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Trimestral</w:t>
            </w:r>
          </w:p>
        </w:tc>
      </w:tr>
    </w:tbl>
    <w:p>
      <w:pPr>
        <w:spacing w:after="20" w:before="0" w:line="240" w:lineRule="auto"/>
      </w:pPr>
      <w:r>
        <w:rPr>
          <w:sz w:val="4"/>
        </w:rPr>
      </w:r>
    </w:p>
    <w:p>
      <w:pPr>
        <w:pStyle w:val="Heading1"/>
      </w:pPr>
      <w:r>
        <w:t>Registros</w:t>
      </w:r>
    </w:p>
    <w:p>
      <w:r>
        <w:t>Conservar programa, plan, notas de evidencia, informe, aceptación de hallazgos y seguimiento en CC-RG-04. Registrar los expedientes que no se pudieron revisar. La información de auditoría se comparte según la función del receptor y se conserva durante cinco años como regla interna.</w:t>
      </w:r>
    </w:p>
    <w:p>
      <w:pPr>
        <w:pStyle w:val="Heading1"/>
      </w:pPr>
      <w:r>
        <w:t>Documentos relacionados</w:t>
      </w:r>
    </w:p>
    <w:p>
      <w:r>
        <w:t>CC-RG-04 | CC-PR-04 | CC-AC-01</w:t>
      </w:r>
    </w:p>
    <w:p>
      <w:pPr>
        <w:pStyle w:val="Heading1"/>
      </w:pPr>
      <w:r>
        <w:t>Historial de cambios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43"/>
        <w:gridCol w:w="4270"/>
        <w:gridCol w:w="3253"/>
      </w:tblGrid>
      <w:tr>
        <w:trPr>
          <w:tblHeader w:val="true"/>
          <w:cantSplit/>
        </w:trPr>
        <w:tc>
          <w:tcPr>
            <w:tcW w:type="dxa" w:w="264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Revisión</w:t>
            </w:r>
          </w:p>
        </w:tc>
        <w:tc>
          <w:tcPr>
            <w:tcW w:type="dxa" w:w="427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Fecha</w:t>
            </w:r>
          </w:p>
        </w:tc>
        <w:tc>
          <w:tcPr>
            <w:tcW w:type="dxa" w:w="325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Cambio registrado</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02</w:t>
            </w:r>
          </w:p>
        </w:tc>
        <w:tc>
          <w:tcPr>
            <w:tcW w:type="dxa" w:w="4270"/>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2025-03-03</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Ajuste del alcance, responsables y evidencia del ciclo operativo 2025.</w:t>
            </w:r>
          </w:p>
        </w:tc>
      </w:tr>
    </w:tbl>
    <w:p>
      <w:pPr>
        <w:spacing w:after="20" w:before="0" w:line="240" w:lineRule="auto"/>
      </w:pPr>
      <w:r>
        <w:rPr>
          <w:sz w:val="4"/>
        </w:rPr>
      </w:r>
    </w:p>
    <w:p>
      <w:r>
        <w:br w:type="page"/>
      </w:r>
    </w:p>
    <w:p>
      <w:pPr>
        <w:pStyle w:val="Title"/>
      </w:pPr>
      <w:r>
        <w:t>Salidas no conformes y acciones correctivas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0"/>
        <w:gridCol w:w="2847"/>
        <w:gridCol w:w="2440"/>
        <w:gridCol w:w="2440"/>
      </w:tblGrid>
      <w:tr>
        <w:trPr>
          <w:tblHeader w:val="true"/>
          <w:cantSplit/>
        </w:trPr>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Código</w:t>
            </w:r>
          </w:p>
        </w:tc>
        <w:tc>
          <w:tcPr>
            <w:tcW w:type="dxa" w:w="2847"/>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Revisión</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Emisión</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Estado</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CC-PR-04</w:t>
            </w:r>
          </w:p>
        </w:tc>
        <w:tc>
          <w:tcPr>
            <w:tcW w:type="dxa" w:w="284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03</w:t>
            </w:r>
          </w:p>
        </w:tc>
        <w:tc>
          <w:tcPr>
            <w:tcW w:type="dxa" w:w="2440"/>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2025-06-16</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Vigente</w:t>
            </w:r>
          </w:p>
        </w:tc>
      </w:tr>
    </w:tbl>
    <w:p>
      <w:pPr>
        <w:spacing w:after="20" w:before="0" w:line="240" w:lineRule="auto"/>
      </w:pPr>
      <w:r>
        <w:rPr>
          <w:sz w:val="4"/>
        </w:rPr>
      </w:r>
    </w:p>
    <w:p>
      <w:pPr>
        <w:spacing w:after="60"/>
      </w:pPr>
      <w:r>
        <w:rPr>
          <w:b/>
        </w:rPr>
        <w:t xml:space="preserve">Tipo y área: </w:t>
      </w:r>
      <w:r>
        <w:t>Procedimiento | Calidad y posventa</w:t>
      </w:r>
    </w:p>
    <w:p>
      <w:pPr>
        <w:spacing w:after="60"/>
      </w:pPr>
      <w:r>
        <w:rPr>
          <w:b/>
        </w:rPr>
        <w:t xml:space="preserve">Responsable: </w:t>
      </w:r>
      <w:r>
        <w:t>Ricardo Muñoz</w:t>
      </w:r>
    </w:p>
    <w:p>
      <w:pPr>
        <w:spacing w:after="60"/>
      </w:pPr>
      <w:r>
        <w:rPr>
          <w:b/>
        </w:rPr>
        <w:t xml:space="preserve">Aprobación interna: </w:t>
      </w:r>
      <w:r>
        <w:t>Valentina Ríos</w:t>
      </w:r>
    </w:p>
    <w:p>
      <w:pPr>
        <w:spacing w:before="100"/>
      </w:pPr>
      <w:r>
        <w:t>Describe cómo contener, tratar y liberar salidas no conformes y cómo verificar las acciones correctivas. Mantiene separados el cierre del caso y la demostración de eficacia.</w:t>
      </w:r>
    </w:p>
    <w:p>
      <w:r>
        <w:rPr>
          <w:sz w:val="18"/>
        </w:rPr>
        <w:t>Referencia temática ISO 9001:2015: 8.7, 10.2, 10.3.</w:t>
      </w:r>
    </w:p>
    <w:p>
      <w:pPr>
        <w:pStyle w:val="Heading1"/>
      </w:pPr>
      <w:r>
        <w:t>Alcance y conceptos</w:t>
      </w:r>
    </w:p>
    <w:p>
      <w:r>
        <w:t>Aplica a equipos, insumos, diseños, instalaciones, entregas, atención y controles del sistema que no satisfacen un requisito. La corrección resuelve el caso; la acción correctiva elimina una causa para evitar repetición. La contención limita el efecto mientras se decide. Se registra en CC-FO-02 o en el expediente vinculado.</w:t>
      </w:r>
    </w:p>
    <w:p>
      <w:pPr>
        <w:pStyle w:val="Heading1"/>
      </w:pPr>
      <w:r>
        <w:t>Detección y contención</w:t>
      </w:r>
    </w:p>
    <w:p>
      <w:pPr>
        <w:ind w:left="216" w:hanging="216"/>
      </w:pPr>
      <w:r>
        <w:t>1. Quien detecta el incumplimiento identifica el objeto, requisito, fecha y evidencia. Informa al líder y a Calidad el mismo día de detección.</w:t>
      </w:r>
    </w:p>
    <w:p>
      <w:pPr>
        <w:ind w:left="216" w:hanging="216"/>
      </w:pPr>
      <w:r>
        <w:t>2. Inventarios separa físicamente el equipo o lote cuando está en bodega y bloquea su liberación. Si el defecto es de información o software, el propietario suspende la versión o transacción afectada según el alcance.</w:t>
      </w:r>
    </w:p>
    <w:p>
      <w:pPr>
        <w:ind w:left="216" w:hanging="216"/>
      </w:pPr>
      <w:r>
        <w:t>3. Si el producto ya salió, Logística y Servicio al cliente identifican destinatarios y valoran el impacto con el responsable técnico. Conservan la comunicación y la instrucción dada al cliente.</w:t>
      </w:r>
    </w:p>
    <w:p>
      <w:pPr>
        <w:ind w:left="216" w:hanging="216"/>
      </w:pPr>
      <w:r>
        <w:t>4. Se registra cantidad, serie o lote, pedido o proyecto, responsable de custodia y tratamiento propuesto. No se borra el registro original para aparentar conformidad.</w:t>
      </w:r>
    </w:p>
    <w:p>
      <w:pPr>
        <w:pStyle w:val="Heading1"/>
      </w:pPr>
      <w:r>
        <w:t>Decisión y liberación</w:t>
      </w:r>
    </w:p>
    <w:p>
      <w:r>
        <w:t>El dueño del proceso y la autoridad técnica deciden corrección, devolución, sustitución, suspensión o descarte autorizado. Una aceptación por concesión requiere evidencia de la autoridad pertinente y del cliente cuando afecte su requisito. No se admite concesión sobre una condición que comprometa la seguridad. Tras una corrección se repiten los controles afectados y se registra quién autoriza la liberación, cuándo y con qué resultado.</w:t>
      </w:r>
    </w:p>
    <w:p>
      <w:pPr>
        <w:pStyle w:val="Heading1"/>
      </w:pPr>
      <w:r>
        <w:t>Causa y acción correctiva</w:t>
      </w:r>
    </w:p>
    <w:p>
      <w:r>
        <w:t>Calidad decide con el dueño si se necesita una acción correctiva, considerando repetición, impacto y posibilidad de ocurrencia en otros casos. El análisis identifica por qué falló el control y por qué no se detectó antes. Se pueden usar preguntas sucesivas o análisis de causa; nombrar a una persona como culpable no sustituye el análisis del proceso.</w:t>
      </w:r>
    </w:p>
    <w:p>
      <w:r>
        <w:t>El plan define tarea, responsable, plazo, recurso y evidencia. Como regla interna se presenta en diez días hábiles tras la detección, salvo plazo diferente aprobado según riesgo. Se revisan casos similares, documentación, competencias y riesgos. Capacitar otra vez solo es suficiente si la causa y la verificación lo justifican.</w:t>
      </w:r>
    </w:p>
    <w:p>
      <w:pPr>
        <w:pStyle w:val="Heading1"/>
      </w:pPr>
      <w:r>
        <w:t>Eficacia y cierre</w:t>
      </w:r>
    </w:p>
    <w:p>
      <w:r>
        <w:t>La persona independiente revisa una muestra posterior al cambio y compara el resultado con el criterio acordado. El plazo de observación depende de la frecuencia del proceso; si aún no ocurrió una nueva operación, el estado es Pendiente de eficacia. El cierre requiere causa abordada, acciones ejecutadas y evidencia de resultado. Si reaparece el problema, se reabre o se vincula una nueva acción y se reevalúa la causa.</w:t>
      </w:r>
    </w:p>
    <w:p>
      <w:pPr>
        <w:pStyle w:val="Heading1"/>
      </w:pPr>
      <w:r>
        <w:t>Ejemplo de aplicación</w:t>
      </w:r>
    </w:p>
    <w:p>
      <w:r>
        <w:t>En el proyecto PRJ-005, el ticket TCK-2025-0419 registra una incidencia posterior a la puesta en marcha. El expediente de montaje conserva la corrección y la atención al cliente; si el análisis confirma un fallo repetible del control de instalación, Calidad abre la acción correspondiente. El cierre del ticket comercial no implica automáticamente cierre de una acción correctiva.</w:t>
      </w:r>
    </w:p>
    <w:p>
      <w:pPr>
        <w:pStyle w:val="Heading1"/>
      </w:pPr>
      <w:r>
        <w:t>Control y registros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43"/>
        <w:gridCol w:w="4270"/>
        <w:gridCol w:w="3253"/>
      </w:tblGrid>
      <w:tr>
        <w:trPr>
          <w:tblHeader w:val="true"/>
          <w:cantSplit/>
        </w:trPr>
        <w:tc>
          <w:tcPr>
            <w:tcW w:type="dxa" w:w="264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Control</w:t>
            </w:r>
          </w:p>
        </w:tc>
        <w:tc>
          <w:tcPr>
            <w:tcW w:type="dxa" w:w="427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Criterio interno</w:t>
            </w:r>
          </w:p>
        </w:tc>
        <w:tc>
          <w:tcPr>
            <w:tcW w:type="dxa" w:w="325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Responsable</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Trazabilidad</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100 % de casos con requisito y objeto identificados</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Líder del proceso</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Contención</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Decisión documentada el día de detección en casos críticos</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Responsable técnico</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Vencimiento</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Revisar semanalmente planes y eficacia pendientes</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Calidad</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Tendencia</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Analizar mensualmente causas, costo de reproceso y recurrencia</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Calidad y Finanzas</w:t>
            </w:r>
          </w:p>
        </w:tc>
      </w:tr>
    </w:tbl>
    <w:p>
      <w:pPr>
        <w:spacing w:after="20" w:before="0" w:line="240" w:lineRule="auto"/>
      </w:pPr>
      <w:r>
        <w:rPr>
          <w:sz w:val="4"/>
        </w:rPr>
      </w:r>
    </w:p>
    <w:p>
      <w:pPr>
        <w:pStyle w:val="Heading1"/>
      </w:pPr>
      <w:r>
        <w:t>Conservación</w:t>
      </w:r>
    </w:p>
    <w:p>
      <w:r>
        <w:t>Conservar CC-FO-02, evidencias de tratamiento, autorizaciones, análisis de causa, verificación y comunicaciones vinculadas. El estado Abierto no se convierte en Cerrado por una fecha objetivo vencida. Una fecha de cierre vacía debe permanecer vacía hasta que exista la decisión y su evidencia.</w:t>
      </w:r>
    </w:p>
    <w:p>
      <w:pPr>
        <w:pStyle w:val="Heading1"/>
      </w:pPr>
      <w:r>
        <w:t>Documentos relacionados</w:t>
      </w:r>
    </w:p>
    <w:p>
      <w:r>
        <w:t>CC-FO-02 | CC-RG-03 | CC-RG-04 | CC-CP-16</w:t>
      </w:r>
    </w:p>
    <w:p>
      <w:pPr>
        <w:pStyle w:val="Heading1"/>
      </w:pPr>
      <w:r>
        <w:t>Historial de cambios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43"/>
        <w:gridCol w:w="4270"/>
        <w:gridCol w:w="3253"/>
      </w:tblGrid>
      <w:tr>
        <w:trPr>
          <w:tblHeader w:val="true"/>
          <w:cantSplit/>
        </w:trPr>
        <w:tc>
          <w:tcPr>
            <w:tcW w:type="dxa" w:w="264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Revisión</w:t>
            </w:r>
          </w:p>
        </w:tc>
        <w:tc>
          <w:tcPr>
            <w:tcW w:type="dxa" w:w="427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Fecha</w:t>
            </w:r>
          </w:p>
        </w:tc>
        <w:tc>
          <w:tcPr>
            <w:tcW w:type="dxa" w:w="325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Cambio registrado</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03</w:t>
            </w:r>
          </w:p>
        </w:tc>
        <w:tc>
          <w:tcPr>
            <w:tcW w:type="dxa" w:w="4270"/>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2025-06-16</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Ajuste del alcance, responsables y evidencia del ciclo operativo 2025.</w:t>
            </w:r>
          </w:p>
        </w:tc>
      </w:tr>
    </w:tbl>
    <w:p>
      <w:pPr>
        <w:spacing w:after="20" w:before="0" w:line="240" w:lineRule="auto"/>
      </w:pPr>
      <w:r>
        <w:rPr>
          <w:sz w:val="4"/>
        </w:rPr>
      </w:r>
    </w:p>
    <w:p>
      <w:r>
        <w:br w:type="page"/>
      </w:r>
    </w:p>
    <w:p>
      <w:pPr>
        <w:pStyle w:val="Title"/>
      </w:pPr>
      <w:r>
        <w:t>Competencia formación y conocimiento operativo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0"/>
        <w:gridCol w:w="2847"/>
        <w:gridCol w:w="2440"/>
        <w:gridCol w:w="2440"/>
      </w:tblGrid>
      <w:tr>
        <w:trPr>
          <w:tblHeader w:val="true"/>
          <w:cantSplit/>
        </w:trPr>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Código</w:t>
            </w:r>
          </w:p>
        </w:tc>
        <w:tc>
          <w:tcPr>
            <w:tcW w:type="dxa" w:w="2847"/>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Revisión</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Emisión</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Estado</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CC-PR-05</w:t>
            </w:r>
          </w:p>
        </w:tc>
        <w:tc>
          <w:tcPr>
            <w:tcW w:type="dxa" w:w="284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02</w:t>
            </w:r>
          </w:p>
        </w:tc>
        <w:tc>
          <w:tcPr>
            <w:tcW w:type="dxa" w:w="2440"/>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2025-07-07</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Vigente</w:t>
            </w:r>
          </w:p>
        </w:tc>
      </w:tr>
    </w:tbl>
    <w:p>
      <w:pPr>
        <w:spacing w:after="20" w:before="0" w:line="240" w:lineRule="auto"/>
      </w:pPr>
      <w:r>
        <w:rPr>
          <w:sz w:val="4"/>
        </w:rPr>
      </w:r>
    </w:p>
    <w:p>
      <w:pPr>
        <w:spacing w:after="60"/>
      </w:pPr>
      <w:r>
        <w:rPr>
          <w:b/>
        </w:rPr>
        <w:t xml:space="preserve">Tipo y área: </w:t>
      </w:r>
      <w:r>
        <w:t>Procedimiento | Talento humano</w:t>
      </w:r>
    </w:p>
    <w:p>
      <w:pPr>
        <w:spacing w:after="60"/>
      </w:pPr>
      <w:r>
        <w:rPr>
          <w:b/>
        </w:rPr>
        <w:t xml:space="preserve">Responsable: </w:t>
      </w:r>
      <w:r>
        <w:t>Clara Ramírez EMP-020</w:t>
      </w:r>
    </w:p>
    <w:p>
      <w:pPr>
        <w:spacing w:after="60"/>
      </w:pPr>
      <w:r>
        <w:rPr>
          <w:b/>
        </w:rPr>
        <w:t xml:space="preserve">Aprobación interna: </w:t>
      </w:r>
      <w:r>
        <w:t>Valentina Ríos</w:t>
      </w:r>
    </w:p>
    <w:p>
      <w:pPr>
        <w:spacing w:before="100"/>
      </w:pPr>
      <w:r>
        <w:t>Establece cómo se identifican y cierran brechas de competencia y cómo se conserva el conocimiento de la operación. La asistencia se distingue de la autorización para ejecutar una tarea.</w:t>
      </w:r>
    </w:p>
    <w:p>
      <w:r>
        <w:rPr>
          <w:sz w:val="18"/>
        </w:rPr>
        <w:t>Referencia temática ISO 9001:2015: 7.1.6, 7.2, 7.3, 7.4.</w:t>
      </w:r>
    </w:p>
    <w:p>
      <w:pPr>
        <w:pStyle w:val="Heading1"/>
      </w:pPr>
      <w:r>
        <w:t>Objeto y responsabilidades</w:t>
      </w:r>
    </w:p>
    <w:p>
      <w:r>
        <w:t>Asegurar que las personas realicen tareas que afectan la calidad con competencia demostrada y acceso al conocimiento necesario. Los líderes definen perfiles y evalúan desempeño; Talento humano coordina evidencias; Dirección aprueba recursos. Clara Ramírez ejerce la coordinación operativa por delegación DG-2025-017 mientras Camila Duarte permanece inactiva en el registro.</w:t>
      </w:r>
    </w:p>
    <w:p>
      <w:pPr>
        <w:pStyle w:val="Heading1"/>
      </w:pPr>
      <w:r>
        <w:t>Identificación de necesidades</w:t>
      </w:r>
    </w:p>
    <w:p>
      <w:r>
        <w:t>Para cada rol se identifican conocimientos, práctica necesaria, autorizaciones y restricciones. Montaje considera lectura de planos, conexión según especificaciones y liberación; Compras, revisión de requisitos y evaluación; Servicio al cliente, registro y tratamiento de reclamos; Tecnología, cambios y recuperación de información.</w:t>
      </w:r>
    </w:p>
    <w:p>
      <w:r>
        <w:t>La matriz distingue competencia técnica y habilidad digital. Una persona con habilidad digital básica puede ser competente en logística; la formación digital se adapta a su trabajo. Cambios de equipo, proceso, software o requisito activan la revisión de necesidades.</w:t>
      </w:r>
    </w:p>
    <w:p>
      <w:pPr>
        <w:pStyle w:val="Heading1"/>
      </w:pPr>
      <w:r>
        <w:t>Plan y ejecución</w:t>
      </w:r>
    </w:p>
    <w:p>
      <w:pPr>
        <w:ind w:left="216" w:hanging="216"/>
      </w:pPr>
      <w:r>
        <w:t>1. El líder identifica la brecha y el resultado que la persona debe demostrar. Talento humano registra prioridad, participante, responsable, fecha y método.</w:t>
      </w:r>
    </w:p>
    <w:p>
      <w:pPr>
        <w:ind w:left="216" w:hanging="216"/>
      </w:pPr>
      <w:r>
        <w:t>2. Se elige formación, acompañamiento, práctica supervisada o incorporación de una persona competente. La decisión considera experiencia previa y complejidad de la tarea.</w:t>
      </w:r>
    </w:p>
    <w:p>
      <w:pPr>
        <w:ind w:left="216" w:hanging="216"/>
      </w:pPr>
      <w:r>
        <w:t>3. El instructor utiliza información vigente y conserva asistencia, contenido y material utilizado. Si una persona falta, se programa recuperación y se mantiene su restricción operativa.</w:t>
      </w:r>
    </w:p>
    <w:p>
      <w:pPr>
        <w:ind w:left="216" w:hanging="216"/>
      </w:pPr>
      <w:r>
        <w:t>4. El evaluador observa una tarea o revisa un resultado contra criterios definidos. Para montaje se requiere ejecución supervisada y verificación de los puntos críticos; un cuestionario no basta por sí solo.</w:t>
      </w:r>
    </w:p>
    <w:p>
      <w:pPr>
        <w:ind w:left="216" w:hanging="216"/>
      </w:pPr>
      <w:r>
        <w:t>5. El líder registra Apto, Apto con supervisión o Pendiente. Una casilla de evaluación vacía no significa aprobado. El área solo asigna tareas dentro de la autorización documentada.</w:t>
      </w:r>
    </w:p>
    <w:p>
      <w:pPr>
        <w:ind w:left="216" w:hanging="216"/>
      </w:pPr>
      <w:r>
        <w:t>6. Se revisa eficacia con el resultado posterior de la operación. Si continúa la brecha, se acuerda otra acción y fecha.</w:t>
      </w:r>
    </w:p>
    <w:p>
      <w:pPr>
        <w:pStyle w:val="Heading1"/>
      </w:pPr>
      <w:r>
        <w:t>Toma de conciencia y comunicación</w:t>
      </w:r>
    </w:p>
    <w:p>
      <w:r>
        <w:t>La inducción explica política, objetivos pertinentes, contribución del puesto, reporte de errores y consecuencias de omitir controles. El líder comunica cambios antes de ejecutarlos y confirma comprensión con una tarea o pregunta aplicada. Las reuniones breves de turno permiten revisar incidentes y pendientes; los acuerdos que cambian una instrucción se tramitan documentalmente.</w:t>
      </w:r>
    </w:p>
    <w:p>
      <w:pPr>
        <w:pStyle w:val="Heading1"/>
      </w:pPr>
      <w:r>
        <w:t>Conocimiento y continuidad</w:t>
      </w:r>
    </w:p>
    <w:p>
      <w:r>
        <w:t>Las lecciones aprendidas de proyectos, fallas y mejoras se registran con contexto y aplicación. El líder valida el conocimiento antes de incorporarlo a una instrucción o kit de trabajo. Tecnología mantiene acceso a la versión vigente. Si un conocimiento depende de una sola persona, se programa transferencia y respaldo; una carpeta de presentaciones sin validación no prueba transferencia.</w:t>
      </w:r>
    </w:p>
    <w:p>
      <w:pPr>
        <w:pStyle w:val="Heading1"/>
      </w:pPr>
      <w:r>
        <w:t>Evaluación y evidencia</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43"/>
        <w:gridCol w:w="4270"/>
        <w:gridCol w:w="3253"/>
      </w:tblGrid>
      <w:tr>
        <w:trPr>
          <w:tblHeader w:val="true"/>
          <w:cantSplit/>
        </w:trPr>
        <w:tc>
          <w:tcPr>
            <w:tcW w:type="dxa" w:w="264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Indicador</w:t>
            </w:r>
          </w:p>
        </w:tc>
        <w:tc>
          <w:tcPr>
            <w:tcW w:type="dxa" w:w="427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Meta interna</w:t>
            </w:r>
          </w:p>
        </w:tc>
        <w:tc>
          <w:tcPr>
            <w:tcW w:type="dxa" w:w="325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Fuente</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Competencia vigente en roles críticos</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100 % de personas asignadas con evidencia válida</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Matriz de roles y evaluación</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Eficacia de formación</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90 % de evaluados cumple el resultado posterior</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Observación y desempeño</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Plan cumplido a tiempo</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95 % de actividades que vencen en el mes</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CC-RG-05</w:t>
            </w:r>
          </w:p>
        </w:tc>
      </w:tr>
    </w:tbl>
    <w:p>
      <w:pPr>
        <w:spacing w:after="20" w:before="0" w:line="240" w:lineRule="auto"/>
      </w:pPr>
      <w:r>
        <w:rPr>
          <w:sz w:val="4"/>
        </w:rPr>
      </w:r>
    </w:p>
    <w:p>
      <w:pPr>
        <w:pStyle w:val="Heading1"/>
      </w:pPr>
      <w:r>
        <w:t>Registros y acceso</w:t>
      </w:r>
    </w:p>
    <w:p>
      <w:r>
        <w:t>Conservar perfil, brecha, plan, asistencia, evaluación, autorización y revisión de eficacia. Las evidencias individuales son de acceso restringido al líder, Talento humano y roles autorizados. CC-RG-05 reúne una muestra documental para el período; CC-AN-01 identifica la estructura y sus códigos de empleado. Los registros se mantienen durante la vinculación más tres años como regla interna de este expediente.</w:t>
      </w:r>
    </w:p>
    <w:p>
      <w:pPr>
        <w:pStyle w:val="Heading1"/>
      </w:pPr>
      <w:r>
        <w:t>Documentos relacionados</w:t>
      </w:r>
    </w:p>
    <w:p>
      <w:r>
        <w:t>CC-RG-05 | CC-AN-01 | CC-CP-03</w:t>
      </w:r>
    </w:p>
    <w:p>
      <w:pPr>
        <w:pStyle w:val="Heading1"/>
      </w:pPr>
      <w:r>
        <w:t>Historial de cambios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43"/>
        <w:gridCol w:w="4270"/>
        <w:gridCol w:w="3253"/>
      </w:tblGrid>
      <w:tr>
        <w:trPr>
          <w:tblHeader w:val="true"/>
          <w:cantSplit/>
        </w:trPr>
        <w:tc>
          <w:tcPr>
            <w:tcW w:type="dxa" w:w="264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Revisión</w:t>
            </w:r>
          </w:p>
        </w:tc>
        <w:tc>
          <w:tcPr>
            <w:tcW w:type="dxa" w:w="427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Fecha</w:t>
            </w:r>
          </w:p>
        </w:tc>
        <w:tc>
          <w:tcPr>
            <w:tcW w:type="dxa" w:w="325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Cambio registrado</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02</w:t>
            </w:r>
          </w:p>
        </w:tc>
        <w:tc>
          <w:tcPr>
            <w:tcW w:type="dxa" w:w="4270"/>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2025-07-07</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Ajuste del alcance, responsables y evidencia del ciclo operativo 2025.</w:t>
            </w:r>
          </w:p>
        </w:tc>
      </w:tr>
    </w:tbl>
    <w:p>
      <w:pPr>
        <w:spacing w:after="20" w:before="0" w:line="240" w:lineRule="auto"/>
      </w:pPr>
      <w:r>
        <w:rPr>
          <w:sz w:val="4"/>
        </w:rPr>
      </w:r>
    </w:p>
    <w:p>
      <w:r>
        <w:br w:type="page"/>
      </w:r>
    </w:p>
    <w:p>
      <w:pPr>
        <w:pStyle w:val="Title"/>
      </w:pPr>
      <w:r>
        <w:t>Expediente comercial y de diseño PRJ 005</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0"/>
        <w:gridCol w:w="2847"/>
        <w:gridCol w:w="2440"/>
        <w:gridCol w:w="2440"/>
      </w:tblGrid>
      <w:tr>
        <w:trPr>
          <w:tblHeader w:val="true"/>
          <w:cantSplit/>
        </w:trPr>
        <w:tc>
          <w:tcPr>
            <w:tcW w:type="dxa" w:w="2440"/>
            <w:vAlign w:val="center"/>
            <w:tcMar>
              <w:top w:w="75" w:type="dxa"/>
              <w:bottom w:w="75" w:type="dxa"/>
              <w:left w:w="90" w:type="dxa"/>
              <w:right w:w="90" w:type="dxa"/>
            </w:tcMar>
            <w:shd w:fill="E8E8E8"/>
          </w:tcPr>
          <w:p>
            <w:pPr>
              <w:keepNext/>
              <w:widowControl/>
              <w:spacing w:before="0" w:after="20" w:line="240" w:lineRule="auto"/>
              <w:jc w:val="center"/>
            </w:pPr>
            <w:r>
              <w:rPr>
                <w:b/>
                <w:color w:val="000000"/>
                <w:sz w:val="18"/>
              </w:rPr>
              <w:t>Código</w:t>
            </w:r>
          </w:p>
        </w:tc>
        <w:tc>
          <w:tcPr>
            <w:tcW w:type="dxa" w:w="2847"/>
            <w:vAlign w:val="center"/>
            <w:tcMar>
              <w:top w:w="75" w:type="dxa"/>
              <w:bottom w:w="75" w:type="dxa"/>
              <w:left w:w="90" w:type="dxa"/>
              <w:right w:w="90" w:type="dxa"/>
            </w:tcMar>
            <w:shd w:fill="E8E8E8"/>
          </w:tcPr>
          <w:p>
            <w:pPr>
              <w:keepNext/>
              <w:widowControl/>
              <w:spacing w:before="0" w:after="20" w:line="240" w:lineRule="auto"/>
              <w:jc w:val="center"/>
            </w:pPr>
            <w:r>
              <w:rPr>
                <w:b/>
                <w:color w:val="000000"/>
                <w:sz w:val="18"/>
              </w:rPr>
              <w:t>Revisión</w:t>
            </w:r>
          </w:p>
        </w:tc>
        <w:tc>
          <w:tcPr>
            <w:tcW w:type="dxa" w:w="2440"/>
            <w:vAlign w:val="center"/>
            <w:tcMar>
              <w:top w:w="75" w:type="dxa"/>
              <w:bottom w:w="75" w:type="dxa"/>
              <w:left w:w="90" w:type="dxa"/>
              <w:right w:w="90" w:type="dxa"/>
            </w:tcMar>
            <w:shd w:fill="E8E8E8"/>
          </w:tcPr>
          <w:p>
            <w:pPr>
              <w:keepNext/>
              <w:widowControl/>
              <w:spacing w:before="0" w:after="20" w:line="240" w:lineRule="auto"/>
              <w:jc w:val="center"/>
            </w:pPr>
            <w:r>
              <w:rPr>
                <w:b/>
                <w:color w:val="000000"/>
                <w:sz w:val="18"/>
              </w:rPr>
              <w:t>Emisión</w:t>
            </w:r>
          </w:p>
        </w:tc>
        <w:tc>
          <w:tcPr>
            <w:tcW w:type="dxa" w:w="2440"/>
            <w:vAlign w:val="center"/>
            <w:tcMar>
              <w:top w:w="75" w:type="dxa"/>
              <w:bottom w:w="75" w:type="dxa"/>
              <w:left w:w="90" w:type="dxa"/>
              <w:right w:w="90" w:type="dxa"/>
            </w:tcMar>
            <w:shd w:fill="E8E8E8"/>
          </w:tcPr>
          <w:p>
            <w:pPr>
              <w:keepNext/>
              <w:widowControl/>
              <w:spacing w:before="0" w:after="20" w:line="240" w:lineRule="auto"/>
              <w:jc w:val="center"/>
            </w:pPr>
            <w:r>
              <w:rPr>
                <w:b/>
                <w:color w:val="000000"/>
                <w:sz w:val="18"/>
              </w:rPr>
              <w:t>Estado</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CC-RG-01</w:t>
            </w:r>
          </w:p>
        </w:tc>
        <w:tc>
          <w:tcPr>
            <w:tcW w:type="dxa" w:w="284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02</w:t>
            </w:r>
          </w:p>
        </w:tc>
        <w:tc>
          <w:tcPr>
            <w:tcW w:type="dxa" w:w="2440"/>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2025-08-26</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Cerrado</w:t>
            </w:r>
          </w:p>
        </w:tc>
      </w:tr>
    </w:tbl>
    <w:p>
      <w:pPr>
        <w:spacing w:after="20" w:before="0" w:line="240" w:lineRule="auto"/>
      </w:pPr>
      <w:r>
        <w:rPr>
          <w:sz w:val="4"/>
        </w:rPr>
      </w:r>
    </w:p>
    <w:p>
      <w:pPr>
        <w:spacing w:after="60"/>
      </w:pPr>
      <w:r>
        <w:rPr>
          <w:b/>
        </w:rPr>
        <w:t xml:space="preserve">Tipo y área: </w:t>
      </w:r>
      <w:r>
        <w:t>Registro diligenciado | Ventas B2B y Diseño de espacios</w:t>
      </w:r>
    </w:p>
    <w:p>
      <w:pPr>
        <w:spacing w:after="60"/>
      </w:pPr>
      <w:r>
        <w:rPr>
          <w:b/>
        </w:rPr>
        <w:t xml:space="preserve">Responsable: </w:t>
      </w:r>
      <w:r>
        <w:t>Sebastián Vélez e Isabel Restrepo</w:t>
      </w:r>
    </w:p>
    <w:p>
      <w:pPr>
        <w:spacing w:after="60"/>
      </w:pPr>
      <w:r>
        <w:rPr>
          <w:b/>
        </w:rPr>
        <w:t xml:space="preserve">Aprobación interna: </w:t>
      </w:r>
      <w:r>
        <w:t>Valentina Ríos</w:t>
      </w:r>
    </w:p>
    <w:p>
      <w:pPr>
        <w:spacing w:before="100"/>
      </w:pPr>
      <w:r>
        <w:t>Se conserva la revisión de requisitos, el diseño y el cambio aprobado del proyecto La Estación para CUS-003 Cadena Café Demo 3, Cali. Este expediente permite vincular la oferta aceptada con las condiciones que Compras y Montaje deben ejecutar.</w:t>
      </w:r>
    </w:p>
    <w:p>
      <w:r>
        <w:rPr>
          <w:sz w:val="18"/>
        </w:rPr>
        <w:t>Referencia temática ISO 9001:2015: 8.2, 8.3, 8.5.6.</w:t>
      </w:r>
    </w:p>
    <w:p>
      <w:pPr>
        <w:pStyle w:val="Heading1"/>
      </w:pPr>
      <w:r>
        <w:t>Identificación del proyecto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50"/>
        <w:gridCol w:w="7116"/>
      </w:tblGrid>
      <w:tr>
        <w:trPr>
          <w:tblHeader w:val="true"/>
          <w:cantSplit/>
        </w:trPr>
        <w:tc>
          <w:tcPr>
            <w:tcW w:type="dxa" w:w="3050"/>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Dato</w:t>
            </w:r>
          </w:p>
        </w:tc>
        <w:tc>
          <w:tcPr>
            <w:tcW w:type="dxa" w:w="7116"/>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Registro</w:t>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Cliente y sede</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t>CUS-003 Cadena Café Demo 3; proyecto PRJ-005 La Estación; Cali.</w:t>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Oferta y aceptación</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t>COT-2025-144, revisión 02, aceptada el 2025-08-04.</w:t>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Valor convenido</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t>COP 150.000.000 netos antes de los impuestos aplicables. La liquidación tributaria pertenece a la factura; no se adiciona en este registro.</w:t>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Pagos del proyecto</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t>Anticipo 30 %: COP 45.000.000. Hito de equipos 40 %: COP 60.000.000. Entrega 30 %: COP 45.000.000.</w:t>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Interlocutores</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t>Por Company Co: Sebastián Vélez. Por el cliente: María Fernanda Cuéllar, administradora. Isabel Restrepo coordina diseño; Andrés Molina, consultoría.</w:t>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Fechas acordadas</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t>Montaje del 15 al 17 de septiembre de 2025; liberación prevista el 18 de septiembre de 2025.</w:t>
            </w:r>
          </w:p>
        </w:tc>
      </w:tr>
    </w:tbl>
    <w:p>
      <w:pPr>
        <w:spacing w:after="20" w:before="0" w:line="240" w:lineRule="auto"/>
      </w:pPr>
      <w:r>
        <w:rPr>
          <w:sz w:val="4"/>
        </w:rPr>
      </w:r>
    </w:p>
    <w:p>
      <w:pPr>
        <w:pStyle w:val="Heading1"/>
      </w:pPr>
      <w:r>
        <w:t>Necesidad y alcance aceptado</w:t>
      </w:r>
    </w:p>
    <w:p>
      <w:r>
        <w:t>El cliente solicita una barra de café con circulación separada de clientes y personal, dos posiciones de trabajo y equipo dimensionado para el pico de mañana. Se incluye levantamiento, diseño de distribución, selección de equipo, coordinación de compras, montaje, prueba funcional y formación inicial. Company Co no fabrica las máquinas de espresso ni opera la cafetería del cliente.</w:t>
      </w:r>
    </w:p>
    <w:p>
      <w:r>
        <w:t>La oferta considera una máquina de espresso, un molino, mobiliario de barra, un terminal POS y adecuaciones delimitadas en la visita. Cambios en obra civil ajena a ese alcance requieren una nueva revisión antes de comprometer plazo o precio.</w:t>
      </w:r>
    </w:p>
    <w:p>
      <w:pPr>
        <w:pStyle w:val="Heading1"/>
      </w:pPr>
      <w:r>
        <w:t>Revisión previa a comprometer el servicio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43"/>
        <w:gridCol w:w="4270"/>
        <w:gridCol w:w="3253"/>
      </w:tblGrid>
      <w:tr>
        <w:trPr>
          <w:tblHeader w:val="true"/>
          <w:cantSplit/>
        </w:trPr>
        <w:tc>
          <w:tcPr>
            <w:tcW w:type="dxa" w:w="2643"/>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Requisito</w:t>
            </w:r>
          </w:p>
        </w:tc>
        <w:tc>
          <w:tcPr>
            <w:tcW w:type="dxa" w:w="4270"/>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Criterio de aceptación</w:t>
            </w:r>
          </w:p>
        </w:tc>
        <w:tc>
          <w:tcPr>
            <w:tcW w:type="dxa" w:w="3253"/>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Resultado de revisión</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Capacidad de atención</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Demostrar 40 bebidas equivalentes en 30 minutos durante la prueba de flujo acordada.</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Andrés Molina confirmó el 2025-08-01 que la combinación de equipo y dos operarios es viable; validación final en sitio.</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Configuración eléctrica e hidráulica</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Compatibilidad con las especificaciones del fabricante y punto instalado por el contratista autorizado del cliente.</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Visita del 2025-07-30 completada; falta comprobar condiciones finales antes de energizar.</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Acceso y descarga</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Ventana de descarga confirmada y recorrido libre hasta la barra.</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Cliente reservó la franja 08:00 a 10:00 del 2025-09-15.</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Presupuesto y cobro</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Oferta aceptada y anticipo confirmado antes de liberar compra.</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Mateo Salcedo registró el anticipo neto de COP 45.000.000 el 2025-08-05.</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Posventa</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Canal único de tickets y explicación de los límites contractuales de la garantía.</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Condiciones revisadas por Natalia Escobar; cliente recibió el alcance el 2025-08-04.</w:t>
            </w:r>
          </w:p>
        </w:tc>
      </w:tr>
    </w:tbl>
    <w:p>
      <w:pPr>
        <w:spacing w:after="20" w:before="0" w:line="240" w:lineRule="auto"/>
      </w:pPr>
      <w:r>
        <w:rPr>
          <w:sz w:val="4"/>
        </w:rPr>
      </w:r>
    </w:p>
    <w:p>
      <w:pPr>
        <w:pStyle w:val="Heading1"/>
      </w:pPr>
      <w:r>
        <w:t>Entradas y salida del diseño</w:t>
      </w:r>
    </w:p>
    <w:p>
      <w:r>
        <w:t>Isabel Restrepo tomó como entradas el levantamiento del local, las fichas técnicas de los equipos, el flujo de trabajo acordado y la oferta COT-2025-144. La propuesta liberada identifica posiciones, conexiones, acceso de mantenimiento y secuencia de instalación. La representación gráfica original y las fichas de fabricante no se incluyen en este lote documental; se conserva aquí su resultado de revisión, sin presentarlas como archivos adjuntos.</w:t>
      </w:r>
    </w:p>
    <w:p>
      <w:r>
        <w:t>El 2025-08-14 Andrés Molina verificó dimensiones críticas, interferencias y correspondencia entre oferta y lista de equipos. Se corrigió una separación insuficiente junto al molino y se amplió el espacio de servicio sin cambiar el área contratada. Isabel registró el diseño D-PRJ005-02 como salida autorizada para la aprobación del cliente.</w:t>
      </w:r>
    </w:p>
    <w:p>
      <w:pPr>
        <w:pStyle w:val="Heading1"/>
      </w:pPr>
      <w:r>
        <w:t>Validación del diseño</w:t>
      </w:r>
    </w:p>
    <w:p>
      <w:r>
        <w:t>El 15 de agosto de 2025 se recorrió la secuencia de pedido, cobro, preparación y entrega con María Fernanda Cuéllar. El cliente aceptó la distribución D-PRJ005-02 para su uso previsto, condicionado a comprobar la operación con los equipos instalados. La validación documental no sustituye la comprobación funcional de CC-RG-03.</w:t>
      </w:r>
    </w:p>
    <w:p>
      <w:r>
        <w:t>El registro de aprobación consigna a María Fernanda Cuéllar como representante del cliente y a Isabel Restrepo como responsable de diseño. Se aceptaron la posición de caja y la barra; no quedaron observaciones abiertas que impidieran compras.</w:t>
      </w:r>
    </w:p>
    <w:p>
      <w:pPr>
        <w:pStyle w:val="Heading1"/>
      </w:pPr>
      <w:r>
        <w:t>Cambio CL 2025 009</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50"/>
        <w:gridCol w:w="7116"/>
      </w:tblGrid>
      <w:tr>
        <w:trPr>
          <w:tblHeader w:val="true"/>
          <w:cantSplit/>
        </w:trPr>
        <w:tc>
          <w:tcPr>
            <w:tcW w:type="dxa" w:w="3050"/>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Campo</w:t>
            </w:r>
          </w:p>
        </w:tc>
        <w:tc>
          <w:tcPr>
            <w:tcW w:type="dxa" w:w="7116"/>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Decisión registrada</w:t>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Solicitud</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t>2025-08-22: mover el terminal POS 45 cm para evitar cruce con la entrega de bebidas.</w:t>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Evaluación</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t>Isabel y Óscar revisaron alcance, paso de cables, secuencia de trabajo y mantenibilidad. No cambia equipo ni capacidad.</w:t>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Impacto económico</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t>COP 0 adicionales al precio neto contratado; ajuste absorbido en las horas de instalación previstas.</w:t>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Impacto de plazo</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t>Se conserva liberación prevista 2025-09-18.</w:t>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Autorización</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t>Cliente y Sebastián Vélez aprobaron el 2025-08-25. Isabel liberó la salida D-PRJ005-03 el 2025-08-26.</w:t>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Comunicación</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t>Compras, Inventarios y Montaje recibieron la revisión 03. Se retiró la revisión 02 de la carpeta operativa.</w:t>
            </w:r>
          </w:p>
        </w:tc>
      </w:tr>
    </w:tbl>
    <w:p>
      <w:pPr>
        <w:spacing w:after="20" w:before="0" w:line="240" w:lineRule="auto"/>
      </w:pPr>
      <w:r>
        <w:rPr>
          <w:sz w:val="4"/>
        </w:rPr>
      </w:r>
    </w:p>
    <w:p>
      <w:pPr>
        <w:pStyle w:val="Heading1"/>
      </w:pPr>
      <w:r>
        <w:t>Entrega a los siguientes procesos</w:t>
      </w:r>
    </w:p>
    <w:p>
      <w:r>
        <w:t>Compras recibe la lista autorizada y mantiene las equivalencias de proveedor sujetas a revisión técnica. Inventarios vincula cada serie con PRJ-005. Montaje recibe el diseño revisión 03 y comprueba las condiciones del sitio antes de intervenir; una diferencia física se registra en CC-FO-01 y suspende únicamente el trabajo afectado.</w:t>
      </w:r>
    </w:p>
    <w:p>
      <w:r>
        <w:t>El cierre comercial queda completo para ejecución. La aceptación del cliente y el pago final requieren la liberación de CC-RG-03; no se marcan anticipadamente como realizados.</w:t>
      </w:r>
    </w:p>
    <w:p>
      <w:pPr>
        <w:pStyle w:val="Heading1"/>
      </w:pPr>
      <w:r>
        <w:t>Documentos relacionados</w:t>
      </w:r>
    </w:p>
    <w:p>
      <w:r>
        <w:t>CC-CP-04 | CC-CP-06 | CC-CP-15 | CC-FO-01 | CC-RG-02 | CC-RG-03</w:t>
      </w:r>
    </w:p>
    <w:p>
      <w:pPr>
        <w:pStyle w:val="Heading1"/>
      </w:pPr>
      <w:r>
        <w:t>Historial de cambios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43"/>
        <w:gridCol w:w="4270"/>
        <w:gridCol w:w="3253"/>
      </w:tblGrid>
      <w:tr>
        <w:trPr>
          <w:tblHeader w:val="true"/>
          <w:cantSplit/>
        </w:trPr>
        <w:tc>
          <w:tcPr>
            <w:tcW w:type="dxa" w:w="2643"/>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Revisión</w:t>
            </w:r>
          </w:p>
        </w:tc>
        <w:tc>
          <w:tcPr>
            <w:tcW w:type="dxa" w:w="4270"/>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Fecha</w:t>
            </w:r>
          </w:p>
        </w:tc>
        <w:tc>
          <w:tcPr>
            <w:tcW w:type="dxa" w:w="3253"/>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Cambio registrado</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01</w:t>
            </w:r>
          </w:p>
        </w:tc>
        <w:tc>
          <w:tcPr>
            <w:tcW w:type="dxa" w:w="4270"/>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2025-08-15</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Oferta, revisión y validación inicial del diseño.</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02</w:t>
            </w:r>
          </w:p>
        </w:tc>
        <w:tc>
          <w:tcPr>
            <w:tcW w:type="dxa" w:w="4270"/>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2025-08-26</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Incorporación del cambio CL-2025-009 y transmisión de diseño revisión 03.</w:t>
            </w:r>
          </w:p>
        </w:tc>
      </w:tr>
    </w:tbl>
    <w:p>
      <w:pPr>
        <w:spacing w:after="20" w:before="0" w:line="240" w:lineRule="auto"/>
      </w:pPr>
      <w:r>
        <w:rPr>
          <w:sz w:val="4"/>
        </w:rPr>
      </w:r>
    </w:p>
    <w:p>
      <w:r>
        <w:br w:type="page"/>
      </w:r>
    </w:p>
    <w:p>
      <w:pPr>
        <w:pStyle w:val="Title"/>
      </w:pPr>
      <w:r>
        <w:t>Compras recepción y entrega PRJ 005</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0"/>
        <w:gridCol w:w="2847"/>
        <w:gridCol w:w="2440"/>
        <w:gridCol w:w="2440"/>
      </w:tblGrid>
      <w:tr>
        <w:trPr>
          <w:tblHeader w:val="true"/>
          <w:cantSplit/>
        </w:trPr>
        <w:tc>
          <w:tcPr>
            <w:tcW w:type="dxa" w:w="2440"/>
            <w:vAlign w:val="center"/>
            <w:tcMar>
              <w:top w:w="75" w:type="dxa"/>
              <w:bottom w:w="75" w:type="dxa"/>
              <w:left w:w="90" w:type="dxa"/>
              <w:right w:w="90" w:type="dxa"/>
            </w:tcMar>
            <w:shd w:fill="E8E8E8"/>
          </w:tcPr>
          <w:p>
            <w:pPr>
              <w:keepNext/>
              <w:widowControl/>
              <w:spacing w:before="0" w:after="20" w:line="240" w:lineRule="auto"/>
              <w:jc w:val="center"/>
            </w:pPr>
            <w:r>
              <w:rPr>
                <w:b/>
                <w:color w:val="000000"/>
                <w:sz w:val="18"/>
              </w:rPr>
              <w:t>Código</w:t>
            </w:r>
          </w:p>
        </w:tc>
        <w:tc>
          <w:tcPr>
            <w:tcW w:type="dxa" w:w="2847"/>
            <w:vAlign w:val="center"/>
            <w:tcMar>
              <w:top w:w="75" w:type="dxa"/>
              <w:bottom w:w="75" w:type="dxa"/>
              <w:left w:w="90" w:type="dxa"/>
              <w:right w:w="90" w:type="dxa"/>
            </w:tcMar>
            <w:shd w:fill="E8E8E8"/>
          </w:tcPr>
          <w:p>
            <w:pPr>
              <w:keepNext/>
              <w:widowControl/>
              <w:spacing w:before="0" w:after="20" w:line="240" w:lineRule="auto"/>
              <w:jc w:val="center"/>
            </w:pPr>
            <w:r>
              <w:rPr>
                <w:b/>
                <w:color w:val="000000"/>
                <w:sz w:val="18"/>
              </w:rPr>
              <w:t>Revisión</w:t>
            </w:r>
          </w:p>
        </w:tc>
        <w:tc>
          <w:tcPr>
            <w:tcW w:type="dxa" w:w="2440"/>
            <w:vAlign w:val="center"/>
            <w:tcMar>
              <w:top w:w="75" w:type="dxa"/>
              <w:bottom w:w="75" w:type="dxa"/>
              <w:left w:w="90" w:type="dxa"/>
              <w:right w:w="90" w:type="dxa"/>
            </w:tcMar>
            <w:shd w:fill="E8E8E8"/>
          </w:tcPr>
          <w:p>
            <w:pPr>
              <w:keepNext/>
              <w:widowControl/>
              <w:spacing w:before="0" w:after="20" w:line="240" w:lineRule="auto"/>
              <w:jc w:val="center"/>
            </w:pPr>
            <w:r>
              <w:rPr>
                <w:b/>
                <w:color w:val="000000"/>
                <w:sz w:val="18"/>
              </w:rPr>
              <w:t>Emisión</w:t>
            </w:r>
          </w:p>
        </w:tc>
        <w:tc>
          <w:tcPr>
            <w:tcW w:type="dxa" w:w="2440"/>
            <w:vAlign w:val="center"/>
            <w:tcMar>
              <w:top w:w="75" w:type="dxa"/>
              <w:bottom w:w="75" w:type="dxa"/>
              <w:left w:w="90" w:type="dxa"/>
              <w:right w:w="90" w:type="dxa"/>
            </w:tcMar>
            <w:shd w:fill="E8E8E8"/>
          </w:tcPr>
          <w:p>
            <w:pPr>
              <w:keepNext/>
              <w:widowControl/>
              <w:spacing w:before="0" w:after="20" w:line="240" w:lineRule="auto"/>
              <w:jc w:val="center"/>
            </w:pPr>
            <w:r>
              <w:rPr>
                <w:b/>
                <w:color w:val="000000"/>
                <w:sz w:val="18"/>
              </w:rPr>
              <w:t>Estado</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CC-RG-02</w:t>
            </w:r>
          </w:p>
        </w:tc>
        <w:tc>
          <w:tcPr>
            <w:tcW w:type="dxa" w:w="284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01</w:t>
            </w:r>
          </w:p>
        </w:tc>
        <w:tc>
          <w:tcPr>
            <w:tcW w:type="dxa" w:w="2440"/>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2025-09-15</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Cerrado</w:t>
            </w:r>
          </w:p>
        </w:tc>
      </w:tr>
    </w:tbl>
    <w:p>
      <w:pPr>
        <w:spacing w:after="20" w:before="0" w:line="240" w:lineRule="auto"/>
      </w:pPr>
      <w:r>
        <w:rPr>
          <w:sz w:val="4"/>
        </w:rPr>
      </w:r>
    </w:p>
    <w:p>
      <w:pPr>
        <w:spacing w:after="60"/>
      </w:pPr>
      <w:r>
        <w:rPr>
          <w:b/>
        </w:rPr>
        <w:t xml:space="preserve">Tipo y área: </w:t>
      </w:r>
      <w:r>
        <w:t>Registro diligenciado | Compras Inventarios y Logística</w:t>
      </w:r>
    </w:p>
    <w:p>
      <w:pPr>
        <w:spacing w:after="60"/>
      </w:pPr>
      <w:r>
        <w:rPr>
          <w:b/>
        </w:rPr>
        <w:t xml:space="preserve">Responsable: </w:t>
      </w:r>
      <w:r>
        <w:t>Daniela Suárez Paola Cárdenas y Felipe Ospina</w:t>
      </w:r>
    </w:p>
    <w:p>
      <w:pPr>
        <w:spacing w:after="60"/>
      </w:pPr>
      <w:r>
        <w:rPr>
          <w:b/>
        </w:rPr>
        <w:t xml:space="preserve">Aprobación interna: </w:t>
      </w:r>
      <w:r>
        <w:t>Ricardo Muñoz</w:t>
      </w:r>
    </w:p>
    <w:p>
      <w:pPr>
        <w:spacing w:before="100"/>
      </w:pPr>
      <w:r>
        <w:t>Este registro reúne la evaluación del proveedor, la orden de compra y la trazabilidad de recepción y traslado de equipos para La Estación. Debe leerse junto con la oferta y el diseño de CC-RG-01; sus valores corresponden a compras y no al precio total del proyecto.</w:t>
      </w:r>
    </w:p>
    <w:p>
      <w:r>
        <w:rPr>
          <w:sz w:val="18"/>
        </w:rPr>
        <w:t>Referencia temática ISO 9001:2015: 8.4, 8.5.2, 8.5.4, 8.6.</w:t>
      </w:r>
    </w:p>
    <w:p>
      <w:pPr>
        <w:pStyle w:val="Heading1"/>
      </w:pPr>
      <w:r>
        <w:t>Compra autorizada</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50"/>
        <w:gridCol w:w="7116"/>
      </w:tblGrid>
      <w:tr>
        <w:trPr>
          <w:tblHeader w:val="true"/>
          <w:cantSplit/>
        </w:trPr>
        <w:tc>
          <w:tcPr>
            <w:tcW w:type="dxa" w:w="3050"/>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Campo</w:t>
            </w:r>
          </w:p>
        </w:tc>
        <w:tc>
          <w:tcPr>
            <w:tcW w:type="dxa" w:w="7116"/>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Valor</w:t>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Proyecto</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t>PRJ-005 La Estación; CUS-003 Cadena Café Demo 3, Cali.</w:t>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Orden</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t>PO-2025-084, emitida 2025-08-27 a SUP-003 Proveedor Demo 3.</w:t>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Solicita y aprueba</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t>Isabel Restrepo confirma especificación; Daniela Suárez selecciona proveedor; Mateo Salcedo aprueba disponibilidad.</w:t>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Alcance de la orden</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t>Una máquina SKU-ESP-001 y un molino SKU-MOL-001. Compra neta total COP 14.400.000 antes de impuestos aplicables.</w:t>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Entrega convenida</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t>01/09/2025 en bodega de Bogotá. La compra incluye despacho de los dos equipos en embalaje protector.</w:t>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Condición documental</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t>Identificar modelo, serie, cantidad y estado de empaque; adjuntar las instrucciones y garantía del proveedor.</w:t>
            </w:r>
          </w:p>
        </w:tc>
      </w:tr>
    </w:tbl>
    <w:p>
      <w:pPr>
        <w:spacing w:after="20" w:before="0" w:line="240" w:lineRule="auto"/>
      </w:pPr>
      <w:r>
        <w:rPr>
          <w:sz w:val="4"/>
        </w:rPr>
      </w:r>
    </w:p>
    <w:p>
      <w:pPr>
        <w:pStyle w:val="Heading1"/>
      </w:pPr>
      <w:r>
        <w:t>Evaluación y seguimiento del proveedor</w:t>
      </w:r>
    </w:p>
    <w:p>
      <w:r>
        <w:t>SUP-003 pertenece al catálogo aprobado y mantiene la categoría comercial Molinos. Para esta orden Daniela verificó, adicionalmente, la capacidad de suministrar la máquina de espresso de la especificación aprobada; la categoría del catálogo no sustituye esa revisión por producto.</w:t>
      </w:r>
    </w:p>
    <w:p>
      <w:r>
        <w:t>La evaluación del 2025-08-20 usa cuatro criterios de igual peso. El resultado de 88/100 permite la orden con seguimiento al tiempo de respuesta. El acta no convierte al proveedor en fabricante de los equipos.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43"/>
        <w:gridCol w:w="4270"/>
        <w:gridCol w:w="3253"/>
      </w:tblGrid>
      <w:tr>
        <w:trPr>
          <w:tblHeader w:val="true"/>
          <w:cantSplit/>
        </w:trPr>
        <w:tc>
          <w:tcPr>
            <w:tcW w:type="dxa" w:w="2643"/>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Criterio</w:t>
            </w:r>
          </w:p>
        </w:tc>
        <w:tc>
          <w:tcPr>
            <w:tcW w:type="dxa" w:w="4270"/>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Puntaje sobre 100</w:t>
            </w:r>
          </w:p>
        </w:tc>
        <w:tc>
          <w:tcPr>
            <w:tcW w:type="dxa" w:w="3253"/>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Evidencia resumida</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Conformidad de suministro</w:t>
            </w:r>
          </w:p>
        </w:tc>
        <w:tc>
          <w:tcPr>
            <w:tcW w:type="dxa" w:w="4270"/>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92</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Últimas entregas revisadas sin sustituciones no autorizadas.</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Puntualidad</w:t>
            </w:r>
          </w:p>
        </w:tc>
        <w:tc>
          <w:tcPr>
            <w:tcW w:type="dxa" w:w="4270"/>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84</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Una demora informada en el periodo; plan de confirmación previo al despacho.</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Respuesta y soporte</w:t>
            </w:r>
          </w:p>
        </w:tc>
        <w:tc>
          <w:tcPr>
            <w:tcW w:type="dxa" w:w="4270"/>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86</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Respuestas técnicas suficientes; acordar contacto de escalamiento.</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Trazabilidad documental</w:t>
            </w:r>
          </w:p>
        </w:tc>
        <w:tc>
          <w:tcPr>
            <w:tcW w:type="dxa" w:w="4270"/>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90</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Series y garantías identificables en entregas consultadas.</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Promedio</w:t>
            </w:r>
          </w:p>
        </w:tc>
        <w:tc>
          <w:tcPr>
            <w:tcW w:type="dxa" w:w="4270"/>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88</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Aprobado con seguimiento; reevaluación prevista marzo de 2026.</w:t>
            </w:r>
          </w:p>
        </w:tc>
      </w:tr>
    </w:tbl>
    <w:p>
      <w:pPr>
        <w:spacing w:after="20" w:before="0" w:line="240" w:lineRule="auto"/>
      </w:pPr>
      <w:r>
        <w:rPr>
          <w:sz w:val="4"/>
        </w:rPr>
      </w:r>
    </w:p>
    <w:p>
      <w:pPr>
        <w:pStyle w:val="Heading1"/>
      </w:pPr>
      <w:r>
        <w:t>Recepcion del primero de septiembre</w:t>
      </w:r>
    </w:p>
    <w:p>
      <w:r>
        <w:t>Paola Cárdenas comparó PO-2025-084 con el contenido recibido el 2025-09-01 a las 09:35. Los dos bultos llegaron completos. Se observó una abolladura superficial en la esquina del embalaje del molino; el equipo quedó retenido hasta completar la inspección conjunta. No se dio por conforme solo por haber firmado la guía de transporte.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43"/>
        <w:gridCol w:w="4270"/>
        <w:gridCol w:w="3253"/>
      </w:tblGrid>
      <w:tr>
        <w:trPr>
          <w:tblHeader w:val="true"/>
          <w:cantSplit/>
        </w:trPr>
        <w:tc>
          <w:tcPr>
            <w:tcW w:type="dxa" w:w="2643"/>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Equipo y cantidad</w:t>
            </w:r>
          </w:p>
        </w:tc>
        <w:tc>
          <w:tcPr>
            <w:tcW w:type="dxa" w:w="4270"/>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Serie</w:t>
            </w:r>
          </w:p>
        </w:tc>
        <w:tc>
          <w:tcPr>
            <w:tcW w:type="dxa" w:w="3253"/>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Resultado</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SKU-ESP-001; 1 unidad</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ESP-CC-25117</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Coincide con especificación. Empaque íntegro y accesorios completos.</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SKU-MOL-001; 1 unidad</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MOL-CC-25118</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Embalaje golpeado. Equipo sin daño visible; revisión funcional posterior conforme.</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Accesorios y documentos</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Vinculados a ambas series</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Cableado y manuales presentes. Fichas externas no incluidas en este lote de importación.</w:t>
            </w:r>
          </w:p>
        </w:tc>
      </w:tr>
    </w:tbl>
    <w:p>
      <w:pPr>
        <w:spacing w:after="20" w:before="0" w:line="240" w:lineRule="auto"/>
      </w:pPr>
      <w:r>
        <w:rPr>
          <w:sz w:val="4"/>
        </w:rPr>
      </w:r>
    </w:p>
    <w:p>
      <w:pPr>
        <w:pStyle w:val="Heading1"/>
      </w:pPr>
      <w:r>
        <w:t>Retención y liberación del equipo</w:t>
      </w:r>
    </w:p>
    <w:p>
      <w:r>
        <w:t>El molino se ubicó en zona de retención R-02 con identificación de proyecto y serie. Ricardo Muñoz verificó carcasa, selector, montaje del depósito y funcionamiento bajo las condiciones indicadas por el fabricante. La inspección terminó el 2025-09-02 a las 11:10 sin defecto del equipo. Se liberó para almacenamiento y se conservó la observación de empaque para la evaluación del proveedor.</w:t>
      </w:r>
    </w:p>
    <w:p>
      <w:r>
        <w:t>La inspección es un resultado interno de este expediente; no se adjunta ni se afirma disponer aquí de un certificado externo. Se registró el contacto con SUP-003 y se acordó reforzar esquineros en el siguiente envío.</w:t>
      </w:r>
    </w:p>
    <w:p>
      <w:pPr>
        <w:pStyle w:val="Heading1"/>
      </w:pPr>
      <w:r>
        <w:t>Almacenamiento y preparación</w:t>
      </w:r>
    </w:p>
    <w:p>
      <w:r>
        <w:t>Los equipos se reservaron para PRJ-005 en ubicación BOG-A2-04. Paola mantuvo las etiquetas originales y protegió las series durante el almacenamiento. No se permitió asignar esos equipos a un pedido B2C mientras existiera la reserva del proyecto.</w:t>
      </w:r>
    </w:p>
    <w:p>
      <w:r>
        <w:t>El 2025-09-11 Inventarios realizó el doble cotejo entre producto, serie y lista del diseño revisión 03. Las unidades de mobiliario para la barra y el POS proceden de otras órdenes; sus compras no están reproducidas en PO-2025-084. La lista de montaje confirma su disponibilidad en CC-RG-03.</w:t>
      </w:r>
    </w:p>
    <w:p>
      <w:pPr>
        <w:pStyle w:val="Heading1"/>
      </w:pPr>
      <w:r>
        <w:t>Traslado y recepción en Cali</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43"/>
        <w:gridCol w:w="4270"/>
        <w:gridCol w:w="3253"/>
      </w:tblGrid>
      <w:tr>
        <w:trPr>
          <w:tblHeader w:val="true"/>
          <w:cantSplit/>
        </w:trPr>
        <w:tc>
          <w:tcPr>
            <w:tcW w:type="dxa" w:w="2643"/>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Hito</w:t>
            </w:r>
          </w:p>
        </w:tc>
        <w:tc>
          <w:tcPr>
            <w:tcW w:type="dxa" w:w="4270"/>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Registro</w:t>
            </w:r>
          </w:p>
        </w:tc>
        <w:tc>
          <w:tcPr>
            <w:tcW w:type="dxa" w:w="3253"/>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Responsable</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Preparación</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2025-09-12; bultos sellados y series contrastadas.</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Paola Cárdenas.</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Salida de Bogotá</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2025-09-13 a las 06:30; ruta autorizada a Cali.</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Felipe Ospina.</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Confirmación de acceso</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2025-09-14; cliente mantiene ventana de descarga.</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Sebastián Vélez.</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Recepción en el local</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15 de septiembre de 2025, 08:45; dos equipos y accesorios recibidos completos.</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Óscar Benítez.</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Novedad de transporte</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Sin daño visible ni diferencia de serie al recibir en sitio.</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Óscar Benítez y Felipe Ospina.</w:t>
            </w:r>
          </w:p>
        </w:tc>
      </w:tr>
    </w:tbl>
    <w:p>
      <w:pPr>
        <w:spacing w:after="20" w:before="0" w:line="240" w:lineRule="auto"/>
      </w:pPr>
      <w:r>
        <w:rPr>
          <w:sz w:val="4"/>
        </w:rPr>
      </w:r>
    </w:p>
    <w:p>
      <w:pPr>
        <w:pStyle w:val="Heading1"/>
      </w:pPr>
      <w:r>
        <w:t>Cierre de la compra</w:t>
      </w:r>
    </w:p>
    <w:p>
      <w:r>
        <w:t>Daniela cierra el seguimiento físico de PO-2025-084 al contar con recepción conforme y trazabilidad hasta el local. Finanzas concilia la factura del proveedor contra la orden y la recepción; su pago no se infiere de este cierre logístico. El expediente se entrega a Montaje mediante CC-RG-03.</w:t>
      </w:r>
    </w:p>
    <w:p>
      <w:r>
        <w:t>Como seguimiento permanece la mejora de embalaje del proveedor. El siguiente pedido debe comprobar el refuerzo acordado; ese seguimiento no altera la conformidad de las unidades ya inspeccionadas y liberadas.</w:t>
      </w:r>
    </w:p>
    <w:p>
      <w:pPr>
        <w:pStyle w:val="Heading1"/>
      </w:pPr>
      <w:r>
        <w:t>Documentos relacionados</w:t>
      </w:r>
    </w:p>
    <w:p>
      <w:r>
        <w:t>CC-RG-01 | CC-RG-03 | CC-CP-09 | CC-CP-10 | CC-CP-11 | CC-PR-04</w:t>
      </w:r>
    </w:p>
    <w:p>
      <w:pPr>
        <w:pStyle w:val="Heading1"/>
      </w:pPr>
      <w:r>
        <w:t>Historial de cambios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43"/>
        <w:gridCol w:w="4270"/>
        <w:gridCol w:w="3253"/>
      </w:tblGrid>
      <w:tr>
        <w:trPr>
          <w:tblHeader w:val="true"/>
          <w:cantSplit/>
        </w:trPr>
        <w:tc>
          <w:tcPr>
            <w:tcW w:type="dxa" w:w="2643"/>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Revisión</w:t>
            </w:r>
          </w:p>
        </w:tc>
        <w:tc>
          <w:tcPr>
            <w:tcW w:type="dxa" w:w="4270"/>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Fecha</w:t>
            </w:r>
          </w:p>
        </w:tc>
        <w:tc>
          <w:tcPr>
            <w:tcW w:type="dxa" w:w="3253"/>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Cambio registrado</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01</w:t>
            </w:r>
          </w:p>
        </w:tc>
        <w:tc>
          <w:tcPr>
            <w:tcW w:type="dxa" w:w="4270"/>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2025-09-15</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Emisión y revisión del expediente del periodo.</w:t>
            </w:r>
          </w:p>
        </w:tc>
      </w:tr>
    </w:tbl>
    <w:p>
      <w:pPr>
        <w:spacing w:after="20" w:before="0" w:line="240" w:lineRule="auto"/>
      </w:pPr>
      <w:r>
        <w:rPr>
          <w:sz w:val="4"/>
        </w:rPr>
      </w:r>
    </w:p>
    <w:p>
      <w:r>
        <w:br w:type="page"/>
      </w:r>
    </w:p>
    <w:p>
      <w:pPr>
        <w:pStyle w:val="Title"/>
      </w:pPr>
      <w:r>
        <w:t>Montaje liberación y posventa PRJ 005</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0"/>
        <w:gridCol w:w="2847"/>
        <w:gridCol w:w="2440"/>
        <w:gridCol w:w="2440"/>
      </w:tblGrid>
      <w:tr>
        <w:trPr>
          <w:tblHeader w:val="true"/>
          <w:cantSplit/>
        </w:trPr>
        <w:tc>
          <w:tcPr>
            <w:tcW w:type="dxa" w:w="2440"/>
            <w:vAlign w:val="center"/>
            <w:tcMar>
              <w:top w:w="75" w:type="dxa"/>
              <w:bottom w:w="75" w:type="dxa"/>
              <w:left w:w="90" w:type="dxa"/>
              <w:right w:w="90" w:type="dxa"/>
            </w:tcMar>
            <w:shd w:fill="E8E8E8"/>
          </w:tcPr>
          <w:p>
            <w:pPr>
              <w:keepNext/>
              <w:widowControl/>
              <w:spacing w:before="0" w:after="20" w:line="240" w:lineRule="auto"/>
              <w:jc w:val="center"/>
            </w:pPr>
            <w:r>
              <w:rPr>
                <w:b/>
                <w:color w:val="000000"/>
                <w:sz w:val="18"/>
              </w:rPr>
              <w:t>Código</w:t>
            </w:r>
          </w:p>
        </w:tc>
        <w:tc>
          <w:tcPr>
            <w:tcW w:type="dxa" w:w="2847"/>
            <w:vAlign w:val="center"/>
            <w:tcMar>
              <w:top w:w="75" w:type="dxa"/>
              <w:bottom w:w="75" w:type="dxa"/>
              <w:left w:w="90" w:type="dxa"/>
              <w:right w:w="90" w:type="dxa"/>
            </w:tcMar>
            <w:shd w:fill="E8E8E8"/>
          </w:tcPr>
          <w:p>
            <w:pPr>
              <w:keepNext/>
              <w:widowControl/>
              <w:spacing w:before="0" w:after="20" w:line="240" w:lineRule="auto"/>
              <w:jc w:val="center"/>
            </w:pPr>
            <w:r>
              <w:rPr>
                <w:b/>
                <w:color w:val="000000"/>
                <w:sz w:val="18"/>
              </w:rPr>
              <w:t>Revisión</w:t>
            </w:r>
          </w:p>
        </w:tc>
        <w:tc>
          <w:tcPr>
            <w:tcW w:type="dxa" w:w="2440"/>
            <w:vAlign w:val="center"/>
            <w:tcMar>
              <w:top w:w="75" w:type="dxa"/>
              <w:bottom w:w="75" w:type="dxa"/>
              <w:left w:w="90" w:type="dxa"/>
              <w:right w:w="90" w:type="dxa"/>
            </w:tcMar>
            <w:shd w:fill="E8E8E8"/>
          </w:tcPr>
          <w:p>
            <w:pPr>
              <w:keepNext/>
              <w:widowControl/>
              <w:spacing w:before="0" w:after="20" w:line="240" w:lineRule="auto"/>
              <w:jc w:val="center"/>
            </w:pPr>
            <w:r>
              <w:rPr>
                <w:b/>
                <w:color w:val="000000"/>
                <w:sz w:val="18"/>
              </w:rPr>
              <w:t>Emisión</w:t>
            </w:r>
          </w:p>
        </w:tc>
        <w:tc>
          <w:tcPr>
            <w:tcW w:type="dxa" w:w="2440"/>
            <w:vAlign w:val="center"/>
            <w:tcMar>
              <w:top w:w="75" w:type="dxa"/>
              <w:bottom w:w="75" w:type="dxa"/>
              <w:left w:w="90" w:type="dxa"/>
              <w:right w:w="90" w:type="dxa"/>
            </w:tcMar>
            <w:shd w:fill="E8E8E8"/>
          </w:tcPr>
          <w:p>
            <w:pPr>
              <w:keepNext/>
              <w:widowControl/>
              <w:spacing w:before="0" w:after="20" w:line="240" w:lineRule="auto"/>
              <w:jc w:val="center"/>
            </w:pPr>
            <w:r>
              <w:rPr>
                <w:b/>
                <w:color w:val="000000"/>
                <w:sz w:val="18"/>
              </w:rPr>
              <w:t>Estado</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CC-RG-03</w:t>
            </w:r>
          </w:p>
        </w:tc>
        <w:tc>
          <w:tcPr>
            <w:tcW w:type="dxa" w:w="284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02</w:t>
            </w:r>
          </w:p>
        </w:tc>
        <w:tc>
          <w:tcPr>
            <w:tcW w:type="dxa" w:w="2440"/>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2025-10-03</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Cerrado</w:t>
            </w:r>
          </w:p>
        </w:tc>
      </w:tr>
    </w:tbl>
    <w:p>
      <w:pPr>
        <w:spacing w:after="20" w:before="0" w:line="240" w:lineRule="auto"/>
      </w:pPr>
      <w:r>
        <w:rPr>
          <w:sz w:val="4"/>
        </w:rPr>
      </w:r>
    </w:p>
    <w:p>
      <w:pPr>
        <w:spacing w:after="60"/>
      </w:pPr>
      <w:r>
        <w:rPr>
          <w:b/>
        </w:rPr>
        <w:t xml:space="preserve">Tipo y área: </w:t>
      </w:r>
      <w:r>
        <w:t>Registro diligenciado | Montaje Servicio al cliente y Calidad</w:t>
      </w:r>
    </w:p>
    <w:p>
      <w:pPr>
        <w:spacing w:after="60"/>
      </w:pPr>
      <w:r>
        <w:rPr>
          <w:b/>
        </w:rPr>
        <w:t xml:space="preserve">Responsable: </w:t>
      </w:r>
      <w:r>
        <w:t>Óscar Benítez Mariana León y Ricardo Muñoz</w:t>
      </w:r>
    </w:p>
    <w:p>
      <w:pPr>
        <w:spacing w:after="60"/>
      </w:pPr>
      <w:r>
        <w:rPr>
          <w:b/>
        </w:rPr>
        <w:t xml:space="preserve">Aprobación interna: </w:t>
      </w:r>
      <w:r>
        <w:t>Ricardo Muñoz</w:t>
      </w:r>
    </w:p>
    <w:p>
      <w:pPr>
        <w:spacing w:before="100"/>
      </w:pPr>
      <w:r>
        <w:t>Se registran la instalación de La Estación, la comprobación funcional, la entrega del 18 de septiembre y el ticket posterior TCK-2025-0419. La liberación corresponde al conjunto instalado en PRJ-005 y no equivale a una aprobación de otros locales del cliente.</w:t>
      </w:r>
    </w:p>
    <w:p>
      <w:r>
        <w:rPr>
          <w:sz w:val="18"/>
        </w:rPr>
        <w:t>Referencia temática ISO 9001:2015: 8.5.1, 8.6, 8.7, 9.1.2, 10.2.</w:t>
      </w:r>
    </w:p>
    <w:p>
      <w:pPr>
        <w:pStyle w:val="Heading1"/>
      </w:pPr>
      <w:r>
        <w:t>Identificación y condiciones previas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50"/>
        <w:gridCol w:w="7116"/>
      </w:tblGrid>
      <w:tr>
        <w:trPr>
          <w:tblHeader w:val="true"/>
          <w:cantSplit/>
        </w:trPr>
        <w:tc>
          <w:tcPr>
            <w:tcW w:type="dxa" w:w="3050"/>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Dato</w:t>
            </w:r>
          </w:p>
        </w:tc>
        <w:tc>
          <w:tcPr>
            <w:tcW w:type="dxa" w:w="7116"/>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Constancia</w:t>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Proyecto y cliente</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t>PRJ-005 La Estación; CUS-003 Cadena Café Demo 3; Cali.</w:t>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Base de trabajo</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t>Diseño D-PRJ005-03; cambio CL-2025-009 incorporado.</w:t>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Equipo principal</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t>Máquina ESP-CC-25117 y molino MOL-CC-25118, recibidos según CC-RG-02.</w:t>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Trabajo programado</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t>2025-09-15 a 2025-09-17; responsable Óscar Benítez.</w:t>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Responsable del local</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t>María Fernanda Cuéllar, administradora designada por el cliente.</w:t>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Comprobación previa</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t>Conexiones y acceso disponibles; contratista del cliente entregó el punto eléctrico antes de energizar.</w:t>
            </w:r>
          </w:p>
        </w:tc>
      </w:tr>
    </w:tbl>
    <w:p>
      <w:pPr>
        <w:spacing w:after="20" w:before="0" w:line="240" w:lineRule="auto"/>
      </w:pPr>
      <w:r>
        <w:rPr>
          <w:sz w:val="4"/>
        </w:rPr>
      </w:r>
    </w:p>
    <w:p>
      <w:pPr>
        <w:pStyle w:val="Heading1"/>
      </w:pPr>
      <w:r>
        <w:t>Secuencia ejecutada</w:t>
      </w:r>
    </w:p>
    <w:p>
      <w:pPr>
        <w:pStyle w:val="ListBullet"/>
      </w:pPr>
      <w:r>
        <w:t>15 de septiembre: el equipo de Óscar cotejó series, ubicación y condiciones del local. La barra y el terminal POS estaban disponibles; se confirmó la posición modificada del POS antes de fijar canaletas.</w:t>
      </w:r>
    </w:p>
    <w:p>
      <w:pPr>
        <w:pStyle w:val="ListBullet"/>
      </w:pPr>
      <w:r>
        <w:t>16 de septiembre: se instalaron los equipos siguiendo las instrucciones del fabricante y las condiciones verificadas del sitio. Se controlaron conexiones, estabilidad y acceso de mantenimiento. El personal de montaje no modificó instalaciones fuera del alcance aprobado.</w:t>
      </w:r>
    </w:p>
    <w:p>
      <w:pPr>
        <w:pStyle w:val="ListBullet"/>
      </w:pPr>
      <w:r>
        <w:t>17 de septiembre: se ajustó el flujo de trabajo con los dos operarios del cliente, se retiraron protecciones de transporte y se realizaron comprobaciones de limpieza, arranque, parada y atención de avisos del equipo.</w:t>
      </w:r>
    </w:p>
    <w:p>
      <w:pPr>
        <w:pStyle w:val="ListBullet"/>
      </w:pPr>
      <w:r>
        <w:t>18 de septiembre: Ricardo revisó los criterios de liberación. Una observación sobre el orden de las instrucciones de cierre se resolvió durante la formación; no quedaron pendientes técnicos que impidieran el uso acordado.</w:t>
      </w:r>
    </w:p>
    <w:p>
      <w:pPr>
        <w:pStyle w:val="Heading1"/>
      </w:pPr>
      <w:r>
        <w:t>Resultados de liberación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43"/>
        <w:gridCol w:w="4270"/>
        <w:gridCol w:w="3253"/>
      </w:tblGrid>
      <w:tr>
        <w:trPr>
          <w:tblHeader w:val="true"/>
          <w:cantSplit/>
        </w:trPr>
        <w:tc>
          <w:tcPr>
            <w:tcW w:type="dxa" w:w="2643"/>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Criterio</w:t>
            </w:r>
          </w:p>
        </w:tc>
        <w:tc>
          <w:tcPr>
            <w:tcW w:type="dxa" w:w="4270"/>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Resultado observado</w:t>
            </w:r>
          </w:p>
        </w:tc>
        <w:tc>
          <w:tcPr>
            <w:tcW w:type="dxa" w:w="3253"/>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Decisión</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Identidad y alcance</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ESP-CC-25117 y MOL-CC-25118 coinciden; POS en posición de CL-2025-009.</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Conforme.</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Conexiones y estabilidad</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Sin fugas visibles en comprobación; equipos estables; comprobación eléctrica por personal competente del alcance.</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Conforme.</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Capacidad acordada</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42 bebidas equivalentes preparadas en 30 minutos con dos operarios; requisito mínimo 40.</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Conforme.</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Flujo y mantenimiento</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Acceso lateral libre y recorrido de cobro separado de entrega durante simulación operativa.</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Conforme.</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Formación de uso</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Dos operarios demostraron arranque, limpieza diaria y actuación ante aviso.</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Conforme; constancia de formación en CC-RG-05.</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Documentación de entrega</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Instrucciones de operación y canal de soporte explicados al cliente.</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Conforme; originales externos no incluidos en este lote.</w:t>
            </w:r>
          </w:p>
        </w:tc>
      </w:tr>
    </w:tbl>
    <w:p>
      <w:pPr>
        <w:spacing w:after="20" w:before="0" w:line="240" w:lineRule="auto"/>
      </w:pPr>
      <w:r>
        <w:rPr>
          <w:sz w:val="4"/>
        </w:rPr>
      </w:r>
    </w:p>
    <w:p>
      <w:pPr>
        <w:pStyle w:val="Heading1"/>
      </w:pPr>
      <w:r>
        <w:t>Aceptación y transferencia</w:t>
      </w:r>
    </w:p>
    <w:p>
      <w:r>
        <w:t>Ricardo Muñoz autorizó la liberación interna el 2025-09-18 a las 15:20. María Fernanda Cuéllar registró la aceptación de entrega a las 16:05. Sebastián Vélez recibió la constancia para tramitar el hito final neto de COP 45.000.000; esta constancia no afirma que dicho importe haya sido pagado.</w:t>
      </w:r>
    </w:p>
    <w:p>
      <w:r>
        <w:t>Se explicó que el cliente debe conservar los accesos de mantenimiento y registrar cualquier modificación posterior. Servicio al cliente recibe las series, la fecha de entrega y las condiciones pactadas de soporte. El proyecto pasa a posventa con trazabilidad activa.</w:t>
      </w:r>
    </w:p>
    <w:p>
      <w:pPr>
        <w:pStyle w:val="Heading1"/>
      </w:pPr>
      <w:r>
        <w:t>Ticket TCK 2025 0419</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50"/>
        <w:gridCol w:w="7116"/>
      </w:tblGrid>
      <w:tr>
        <w:trPr>
          <w:tblHeader w:val="true"/>
          <w:cantSplit/>
        </w:trPr>
        <w:tc>
          <w:tcPr>
            <w:tcW w:type="dxa" w:w="3050"/>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Campo</w:t>
            </w:r>
          </w:p>
        </w:tc>
        <w:tc>
          <w:tcPr>
            <w:tcW w:type="dxa" w:w="7116"/>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Registro</w:t>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Ingreso</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t>2025-09-25 a las 08:10; cliente informa dosis irregulares del molino y demora en la fila.</w:t>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Clasificación</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t>Incidencia operativa; sin reporte de lesión ni daño físico. Serie MOL-CC-25118.</w:t>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Atención inicial</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t>Mariana León confirma recepción a las 08:35 y acuerda evitar ajustes no guiados.</w:t>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Contención</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t>Cliente utiliza el equipo conforme a las instrucciones de soporte y conserva el lote de café para diagnóstico.</w:t>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Diagnóstico</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t>2025-09-26: ajuste de molienda modificado tras cambiar mezcla; no se encontró falla del conjunto mecánico.</w:t>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Solución</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t>Reajuste por técnico, demostración de dosificación y actualización de la guía de cambios de mezcla.</w:t>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Comprobación</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t>2025-10-02: tres series consecutivas dentro del rango acordado para la receta; cliente sin repetición de la demora.</w:t>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Cierre</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t>2025-10-03; Mariana confirma resolución con la administradora. Ricardo valida el registro.</w:t>
            </w:r>
          </w:p>
        </w:tc>
      </w:tr>
    </w:tbl>
    <w:p>
      <w:pPr>
        <w:spacing w:after="20" w:before="0" w:line="240" w:lineRule="auto"/>
      </w:pPr>
      <w:r>
        <w:rPr>
          <w:sz w:val="4"/>
        </w:rPr>
      </w:r>
    </w:p>
    <w:p>
      <w:pPr>
        <w:pStyle w:val="Heading1"/>
      </w:pPr>
      <w:r>
        <w:t>Aprendizaje y satisfacción</w:t>
      </w:r>
    </w:p>
    <w:p>
      <w:r>
        <w:t>El análisis no atribuye automáticamente la incidencia a mal uso. La explicación entregada inicialmente describía la limpieza, pero no dejaba suficientemente claro cuándo solicitar apoyo para una nueva mezcla. Se acordó incluir ese caso en la formación de futuros proyectos y comunicar la mejora a Consultoría y Montaje.</w:t>
      </w:r>
    </w:p>
    <w:p>
      <w:r>
        <w:t>La encuesta de este proyecto registra 4 de 5 puntos en satisfacción general, con observación favorable sobre la respuesta de soporte. Ese resultado individual no reemplaza el índice corporativo CSAT de 86/100 ni permite recalcularlo sin el conjunto de respuestas.</w:t>
      </w:r>
    </w:p>
    <w:p>
      <w:r>
        <w:t>El expediente se cierra con el ticket resuelto y la recomendación transmitida a CC-CP-16. La recurrencia se revisará en el siguiente comité de calidad, sin borrar la incidencia del historial del cliente.</w:t>
      </w:r>
    </w:p>
    <w:p>
      <w:pPr>
        <w:pStyle w:val="Heading1"/>
      </w:pPr>
      <w:r>
        <w:t>Documentos relacionados</w:t>
      </w:r>
    </w:p>
    <w:p>
      <w:r>
        <w:t>CC-RG-01 | CC-RG-02 | CC-RG-05 | CC-CP-12 | CC-CP-13 | CC-CP-16 | CC-PR-04</w:t>
      </w:r>
    </w:p>
    <w:p>
      <w:pPr>
        <w:pStyle w:val="Heading1"/>
      </w:pPr>
      <w:r>
        <w:t>Historial de cambios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43"/>
        <w:gridCol w:w="4270"/>
        <w:gridCol w:w="3253"/>
      </w:tblGrid>
      <w:tr>
        <w:trPr>
          <w:tblHeader w:val="true"/>
          <w:cantSplit/>
        </w:trPr>
        <w:tc>
          <w:tcPr>
            <w:tcW w:type="dxa" w:w="2643"/>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Revisión</w:t>
            </w:r>
          </w:p>
        </w:tc>
        <w:tc>
          <w:tcPr>
            <w:tcW w:type="dxa" w:w="4270"/>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Fecha</w:t>
            </w:r>
          </w:p>
        </w:tc>
        <w:tc>
          <w:tcPr>
            <w:tcW w:type="dxa" w:w="3253"/>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Cambio registrado</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01</w:t>
            </w:r>
          </w:p>
        </w:tc>
        <w:tc>
          <w:tcPr>
            <w:tcW w:type="dxa" w:w="4270"/>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2025-09-18</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Liberación y aceptación de la instalación.</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02</w:t>
            </w:r>
          </w:p>
        </w:tc>
        <w:tc>
          <w:tcPr>
            <w:tcW w:type="dxa" w:w="4270"/>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2025-10-03</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Incorporación y cierre del ticket TCK-2025-0419.</w:t>
            </w:r>
          </w:p>
        </w:tc>
      </w:tr>
    </w:tbl>
    <w:p>
      <w:pPr>
        <w:spacing w:after="20" w:before="0" w:line="240" w:lineRule="auto"/>
      </w:pPr>
      <w:r>
        <w:rPr>
          <w:sz w:val="4"/>
        </w:rPr>
      </w:r>
    </w:p>
    <w:p>
      <w:r>
        <w:br w:type="page"/>
      </w:r>
    </w:p>
    <w:p>
      <w:pPr>
        <w:pStyle w:val="Title"/>
      </w:pPr>
      <w:r>
        <w:t>Auditoría interna y seguimiento de acciones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0"/>
        <w:gridCol w:w="2847"/>
        <w:gridCol w:w="2440"/>
        <w:gridCol w:w="2440"/>
      </w:tblGrid>
      <w:tr>
        <w:trPr>
          <w:tblHeader w:val="true"/>
          <w:cantSplit/>
        </w:trPr>
        <w:tc>
          <w:tcPr>
            <w:tcW w:type="dxa" w:w="2440"/>
            <w:vAlign w:val="center"/>
            <w:tcMar>
              <w:top w:w="75" w:type="dxa"/>
              <w:bottom w:w="75" w:type="dxa"/>
              <w:left w:w="90" w:type="dxa"/>
              <w:right w:w="90" w:type="dxa"/>
            </w:tcMar>
            <w:shd w:fill="E8E8E8"/>
          </w:tcPr>
          <w:p>
            <w:pPr>
              <w:keepNext/>
              <w:widowControl/>
              <w:spacing w:before="0" w:after="20" w:line="240" w:lineRule="auto"/>
              <w:jc w:val="center"/>
            </w:pPr>
            <w:r>
              <w:rPr>
                <w:b/>
                <w:color w:val="000000"/>
                <w:sz w:val="18"/>
              </w:rPr>
              <w:t>Código</w:t>
            </w:r>
          </w:p>
        </w:tc>
        <w:tc>
          <w:tcPr>
            <w:tcW w:type="dxa" w:w="2847"/>
            <w:vAlign w:val="center"/>
            <w:tcMar>
              <w:top w:w="75" w:type="dxa"/>
              <w:bottom w:w="75" w:type="dxa"/>
              <w:left w:w="90" w:type="dxa"/>
              <w:right w:w="90" w:type="dxa"/>
            </w:tcMar>
            <w:shd w:fill="E8E8E8"/>
          </w:tcPr>
          <w:p>
            <w:pPr>
              <w:keepNext/>
              <w:widowControl/>
              <w:spacing w:before="0" w:after="20" w:line="240" w:lineRule="auto"/>
              <w:jc w:val="center"/>
            </w:pPr>
            <w:r>
              <w:rPr>
                <w:b/>
                <w:color w:val="000000"/>
                <w:sz w:val="18"/>
              </w:rPr>
              <w:t>Revisión</w:t>
            </w:r>
          </w:p>
        </w:tc>
        <w:tc>
          <w:tcPr>
            <w:tcW w:type="dxa" w:w="2440"/>
            <w:vAlign w:val="center"/>
            <w:tcMar>
              <w:top w:w="75" w:type="dxa"/>
              <w:bottom w:w="75" w:type="dxa"/>
              <w:left w:w="90" w:type="dxa"/>
              <w:right w:w="90" w:type="dxa"/>
            </w:tcMar>
            <w:shd w:fill="E8E8E8"/>
          </w:tcPr>
          <w:p>
            <w:pPr>
              <w:keepNext/>
              <w:widowControl/>
              <w:spacing w:before="0" w:after="20" w:line="240" w:lineRule="auto"/>
              <w:jc w:val="center"/>
            </w:pPr>
            <w:r>
              <w:rPr>
                <w:b/>
                <w:color w:val="000000"/>
                <w:sz w:val="18"/>
              </w:rPr>
              <w:t>Emisión</w:t>
            </w:r>
          </w:p>
        </w:tc>
        <w:tc>
          <w:tcPr>
            <w:tcW w:type="dxa" w:w="2440"/>
            <w:vAlign w:val="center"/>
            <w:tcMar>
              <w:top w:w="75" w:type="dxa"/>
              <w:bottom w:w="75" w:type="dxa"/>
              <w:left w:w="90" w:type="dxa"/>
              <w:right w:w="90" w:type="dxa"/>
            </w:tcMar>
            <w:shd w:fill="E8E8E8"/>
          </w:tcPr>
          <w:p>
            <w:pPr>
              <w:keepNext/>
              <w:widowControl/>
              <w:spacing w:before="0" w:after="20" w:line="240" w:lineRule="auto"/>
              <w:jc w:val="center"/>
            </w:pPr>
            <w:r>
              <w:rPr>
                <w:b/>
                <w:color w:val="000000"/>
                <w:sz w:val="18"/>
              </w:rPr>
              <w:t>Estado</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CC-RG-04</w:t>
            </w:r>
          </w:p>
        </w:tc>
        <w:tc>
          <w:tcPr>
            <w:tcW w:type="dxa" w:w="284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02</w:t>
            </w:r>
          </w:p>
        </w:tc>
        <w:tc>
          <w:tcPr>
            <w:tcW w:type="dxa" w:w="2440"/>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2025-12-18</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Seguimiento abierto</w:t>
            </w:r>
          </w:p>
        </w:tc>
      </w:tr>
    </w:tbl>
    <w:p>
      <w:pPr>
        <w:spacing w:after="20" w:before="0" w:line="240" w:lineRule="auto"/>
      </w:pPr>
      <w:r>
        <w:rPr>
          <w:sz w:val="4"/>
        </w:rPr>
      </w:r>
    </w:p>
    <w:p>
      <w:pPr>
        <w:spacing w:after="60"/>
      </w:pPr>
      <w:r>
        <w:rPr>
          <w:b/>
        </w:rPr>
        <w:t xml:space="preserve">Tipo y área: </w:t>
      </w:r>
      <w:r>
        <w:t>Registro diligenciado | Calidad y posventa</w:t>
      </w:r>
    </w:p>
    <w:p>
      <w:pPr>
        <w:spacing w:after="60"/>
      </w:pPr>
      <w:r>
        <w:rPr>
          <w:b/>
        </w:rPr>
        <w:t xml:space="preserve">Responsable: </w:t>
      </w:r>
      <w:r>
        <w:t>Ricardo Muñoz</w:t>
      </w:r>
    </w:p>
    <w:p>
      <w:pPr>
        <w:spacing w:after="60"/>
      </w:pPr>
      <w:r>
        <w:rPr>
          <w:b/>
        </w:rPr>
        <w:t xml:space="preserve">Aprobación interna: </w:t>
      </w:r>
      <w:r>
        <w:t>Valentina Ríos</w:t>
      </w:r>
    </w:p>
    <w:p>
      <w:pPr>
        <w:spacing w:before="100"/>
      </w:pPr>
      <w:r>
        <w:t>El registro contiene la auditoría interna realizada del 10 al 12 de noviembre de 2025 y su seguimiento al 18 de diciembre. Se evaluaron muestras de documentos y actuaciones; los resultados se limitan a esas muestras y no constituyen una certificación.</w:t>
      </w:r>
    </w:p>
    <w:p>
      <w:r>
        <w:rPr>
          <w:sz w:val="18"/>
        </w:rPr>
        <w:t>Referencia temática ISO 9001:2015: 9.2, 10.2, 7.5.</w:t>
      </w:r>
    </w:p>
    <w:p>
      <w:pPr>
        <w:pStyle w:val="Heading1"/>
      </w:pPr>
      <w:r>
        <w:t>Programa alcance y equipo auditor</w:t>
      </w:r>
    </w:p>
    <w:p>
      <w:r>
        <w:t>Esta auditoría del programa anual cubre Gestión documental, Compras, Inventarios, Montaje, Tecnología y Talento humano, con prioridad en trazabilidad de equipos y transferencia de cambios. Natalia Escobar coordina el equipo; Santiago Robledo revisa documentación de Montaje y Clara Ramírez revisa la evidencia administrativa de Compras. Cada integrante se abstiene de evaluar sus propias actuaciones.</w:t>
      </w:r>
    </w:p>
    <w:p>
      <w:r>
        <w:t>Ricardo facilita el acceso y consolida acciones, pero no audita el proceso del que es dueño. El criterio incluye CC-PR-03, los procedimientos aplicables y los compromisos internos vigentes del periodo. La revisión se hizo con entrevistas, lectura de registros y seguimiento de un proyecto completo.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43"/>
        <w:gridCol w:w="4270"/>
        <w:gridCol w:w="3253"/>
      </w:tblGrid>
      <w:tr>
        <w:trPr>
          <w:tblHeader w:val="true"/>
          <w:cantSplit/>
        </w:trPr>
        <w:tc>
          <w:tcPr>
            <w:tcW w:type="dxa" w:w="2643"/>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Fecha</w:t>
            </w:r>
          </w:p>
        </w:tc>
        <w:tc>
          <w:tcPr>
            <w:tcW w:type="dxa" w:w="4270"/>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Actividad</w:t>
            </w:r>
          </w:p>
        </w:tc>
        <w:tc>
          <w:tcPr>
            <w:tcW w:type="dxa" w:w="3253"/>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Muestra</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2025-11-10</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Apertura y control de documentos</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Listado maestro y copias de uso en Bogotá y Cali.</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2025-11-11</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Compras e instalación</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PRJ-005; PO-2025-084; trazabilidad ESP-CC-25117 y MOL-CC-25118.</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2025-11-12</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Competencia y cierre</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Dos acciones formativas; control de equipos; reunión con responsables.</w:t>
            </w:r>
          </w:p>
        </w:tc>
      </w:tr>
    </w:tbl>
    <w:p>
      <w:pPr>
        <w:spacing w:after="20" w:before="0" w:line="240" w:lineRule="auto"/>
      </w:pPr>
      <w:r>
        <w:rPr>
          <w:sz w:val="4"/>
        </w:rPr>
      </w:r>
    </w:p>
    <w:p>
      <w:pPr>
        <w:pStyle w:val="Heading1"/>
      </w:pPr>
      <w:r>
        <w:t>Fuentes consultadas</w:t>
      </w:r>
    </w:p>
    <w:p>
      <w:r>
        <w:t>Se consultaron las revisiones disponibles a la fecha de CC-RG-01 a CC-RG-03, CC-RG-05 y las caracterizaciones de los procesos muestreados; el expediente de seguimiento incorpora actualizaciones posteriores sin cambiar la fecha de la auditoría. La hoja de preparación del auditor consigna CC-PR-01 revisión 02 como referencia de control documental. Los resultados conservan esa anotación tal como quedó en el registro de preparación.</w:t>
      </w:r>
    </w:p>
    <w:p>
      <w:r>
        <w:t>La auditoría confirmó en el proyecto muestreado la existencia de revisión de requisitos, cambio de diseño y vínculo entre serie recibida e instalada. La coincidencia de ese expediente no se extrapola a todas las compras del año.</w:t>
      </w:r>
    </w:p>
    <w:p>
      <w:pPr>
        <w:pStyle w:val="Heading1"/>
      </w:pPr>
      <w:r>
        <w:t>Hallazgos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43"/>
        <w:gridCol w:w="4270"/>
        <w:gridCol w:w="3253"/>
      </w:tblGrid>
      <w:tr>
        <w:trPr>
          <w:tblHeader w:val="true"/>
          <w:cantSplit/>
        </w:trPr>
        <w:tc>
          <w:tcPr>
            <w:tcW w:type="dxa" w:w="2643"/>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Identificador</w:t>
            </w:r>
          </w:p>
        </w:tc>
        <w:tc>
          <w:tcPr>
            <w:tcW w:type="dxa" w:w="4270"/>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Hecho y evidencia</w:t>
            </w:r>
          </w:p>
        </w:tc>
        <w:tc>
          <w:tcPr>
            <w:tcW w:type="dxa" w:w="3253"/>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Clasificación</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NC-2025-011</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En la carpeta de uso de Montaje se encontró una copia del diseño D-PRJ005-02 junto a la revisión 03. El registro de difusión no incluía confirmación de retiro en esa ubicación.</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No conformidad documental.</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NC-2025-012</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La formación de Inventarios del 2025-10-22 carece de validación documentada de eficacia al 2025-11-12. Existe asistencia, pero no demuestra aplicación autónoma de la tarea.</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No conformidad de evidencia de competencia.</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OM-2025-004</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El equipo propuso unificar la búsqueda por serie para evitar consultas duplicadas entre Inventarios y Posventa.</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Oportunidad de mejora; evaluación de viabilidad.</w:t>
            </w:r>
          </w:p>
        </w:tc>
      </w:tr>
    </w:tbl>
    <w:p>
      <w:pPr>
        <w:spacing w:after="20" w:before="0" w:line="240" w:lineRule="auto"/>
      </w:pPr>
      <w:r>
        <w:rPr>
          <w:sz w:val="4"/>
        </w:rPr>
      </w:r>
    </w:p>
    <w:p>
      <w:pPr>
        <w:pStyle w:val="Heading1"/>
      </w:pPr>
      <w:r>
        <w:t>Acción AC 2025 018 por NC 2025 011</w:t>
      </w:r>
    </w:p>
    <w:p>
      <w:r>
        <w:t>Óscar retiró la copia superada el 2025-11-13 y confirmó que la instalación ejecutada correspondía a la revisión 03. La revisión retrospectiva de PRJ-005 no detectó una diferencia del producto entregado. La corrección documental y la comprobación técnica quedaron registradas por separado.</w:t>
      </w:r>
    </w:p>
    <w:p>
      <w:r>
        <w:t>La causa identificada fue que la lista de distribución incluía responsables, pero no todas las ubicaciones de copia. Santiago agregó el campo de ubicación y un comprobante de retiro; Óscar verificó las carpetas de trabajo de los proyectos activos. No se atribuyó la causa solo a olvido del colaborador.</w:t>
      </w:r>
    </w:p>
    <w:p>
      <w:r>
        <w:t>El 2025-12-05 Natalia revisó tres paquetes liberados después del cambio y verificó una sola revisión operativa en cada ubicación. Se encontró evidencia de retiro y de acceso a la copia vigente. Se declara eficaz para la muestra revisada; Ricardo cerró AC-2025-018 el 2025-12-09.</w:t>
      </w:r>
    </w:p>
    <w:p>
      <w:pPr>
        <w:pStyle w:val="Heading1"/>
      </w:pPr>
      <w:r>
        <w:t>Acción AC 2025 019 por NC 2025 012</w:t>
      </w:r>
    </w:p>
    <w:p>
      <w:r>
        <w:t>Clara Ramírez identificó que la convocatoria de formación cerraba con asistencia y encuesta, sin asignar a un supervisor la observación posterior. Paola Cárdenas acordó acompañar la verificación práctica y conservar el resultado por participante. Hasta entonces, los participantes afectados realizan la tarea de conciliación bajo supervisión.</w:t>
      </w:r>
    </w:p>
    <w:p>
      <w:r>
        <w:t>El formulario de seguimiento ya incorpora responsable y fecha de verificación. La eficacia de la acción sigue pendiente porque la observación del segundo turno se programó para el 2026-01-09. La asistencia al curso no se acepta como sustituto de esa observación.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50"/>
        <w:gridCol w:w="7116"/>
      </w:tblGrid>
      <w:tr>
        <w:trPr>
          <w:tblHeader w:val="true"/>
          <w:cantSplit/>
        </w:trPr>
        <w:tc>
          <w:tcPr>
            <w:tcW w:type="dxa" w:w="3050"/>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Campo</w:t>
            </w:r>
          </w:p>
        </w:tc>
        <w:tc>
          <w:tcPr>
            <w:tcW w:type="dxa" w:w="7116"/>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Registro</w:t>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Responsables</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t>Clara Ramírez coordina; Paola Cárdenas verifica desempeño.</w:t>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Fecha objetivo</w:t>
            </w:r>
          </w:p>
        </w:tc>
        <w:tc>
          <w:tcPr>
            <w:tcW w:type="dxa" w:w="7116"/>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2026-01-15.</w:t>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Estado al 2025-12-18</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t>Abierta; corrección implantada y eficacia pendiente.</w:t>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Fecha de cierre</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Evidencia pendiente</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t>Observación del segundo turno y revisión de resultados por Ricardo Muñoz.</w:t>
            </w:r>
          </w:p>
        </w:tc>
      </w:tr>
    </w:tbl>
    <w:p>
      <w:pPr>
        <w:spacing w:after="20" w:before="0" w:line="240" w:lineRule="auto"/>
      </w:pPr>
      <w:r>
        <w:rPr>
          <w:sz w:val="4"/>
        </w:rPr>
      </w:r>
    </w:p>
    <w:p>
      <w:pPr>
        <w:pStyle w:val="Heading1"/>
      </w:pPr>
      <w:r>
        <w:t>Conclusiones y comunicación</w:t>
      </w:r>
    </w:p>
    <w:p>
      <w:r>
        <w:t>La auditoría identifica dos no conformidades y una oportunidad. Al corte de seguimiento, una acción está cerrada y otra permanece abierta. Dirección recibió el estado y la necesidad de conservar tiempo de supervisión durante enero.</w:t>
      </w:r>
    </w:p>
    <w:p>
      <w:r>
        <w:t>No se propone suspender toda la operación: la restricción se aplica a la ejecución autónoma de la tarea aún no validada. Ricardo informa cualquier repetición o vencimiento a Dirección y lleva los resultados a CC-AC-01. La acción abierta no se elimina del seguimiento al comenzar el nuevo año.</w:t>
      </w:r>
    </w:p>
    <w:p>
      <w:pPr>
        <w:pStyle w:val="Heading1"/>
      </w:pPr>
      <w:r>
        <w:t>Documentos relacionados</w:t>
      </w:r>
    </w:p>
    <w:p>
      <w:r>
        <w:t>CC-PR-01 | CC-PR-03 | CC-PR-04 | CC-RG-01 | CC-RG-02 | CC-RG-03 | CC-RG-05 | CC-AC-01</w:t>
      </w:r>
    </w:p>
    <w:p>
      <w:pPr>
        <w:pStyle w:val="Heading1"/>
      </w:pPr>
      <w:r>
        <w:t>Historial de cambios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43"/>
        <w:gridCol w:w="4270"/>
        <w:gridCol w:w="3253"/>
      </w:tblGrid>
      <w:tr>
        <w:trPr>
          <w:tblHeader w:val="true"/>
          <w:cantSplit/>
        </w:trPr>
        <w:tc>
          <w:tcPr>
            <w:tcW w:type="dxa" w:w="2643"/>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Revisión</w:t>
            </w:r>
          </w:p>
        </w:tc>
        <w:tc>
          <w:tcPr>
            <w:tcW w:type="dxa" w:w="4270"/>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Fecha</w:t>
            </w:r>
          </w:p>
        </w:tc>
        <w:tc>
          <w:tcPr>
            <w:tcW w:type="dxa" w:w="3253"/>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Cambio registrado</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01</w:t>
            </w:r>
          </w:p>
        </w:tc>
        <w:tc>
          <w:tcPr>
            <w:tcW w:type="dxa" w:w="4270"/>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2025-11-12</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Informe de auditoría y apertura de hallazgos.</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02</w:t>
            </w:r>
          </w:p>
        </w:tc>
        <w:tc>
          <w:tcPr>
            <w:tcW w:type="dxa" w:w="4270"/>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2025-12-18</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Seguimiento de acciones con una verificación de eficacia pendiente.</w:t>
            </w:r>
          </w:p>
        </w:tc>
      </w:tr>
    </w:tbl>
    <w:p>
      <w:pPr>
        <w:spacing w:after="20" w:before="0" w:line="240" w:lineRule="auto"/>
      </w:pPr>
      <w:r>
        <w:rPr>
          <w:sz w:val="4"/>
        </w:rPr>
      </w:r>
    </w:p>
    <w:p>
      <w:r>
        <w:br w:type="page"/>
      </w:r>
    </w:p>
    <w:p>
      <w:pPr>
        <w:pStyle w:val="Title"/>
      </w:pPr>
      <w:r>
        <w:t>Formación y equipos de seguimiento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0"/>
        <w:gridCol w:w="2847"/>
        <w:gridCol w:w="2440"/>
        <w:gridCol w:w="2440"/>
      </w:tblGrid>
      <w:tr>
        <w:trPr>
          <w:tblHeader w:val="true"/>
          <w:cantSplit/>
        </w:trPr>
        <w:tc>
          <w:tcPr>
            <w:tcW w:type="dxa" w:w="2440"/>
            <w:vAlign w:val="center"/>
            <w:tcMar>
              <w:top w:w="75" w:type="dxa"/>
              <w:bottom w:w="75" w:type="dxa"/>
              <w:left w:w="90" w:type="dxa"/>
              <w:right w:w="90" w:type="dxa"/>
            </w:tcMar>
            <w:shd w:fill="E8E8E8"/>
          </w:tcPr>
          <w:p>
            <w:pPr>
              <w:keepNext/>
              <w:widowControl/>
              <w:spacing w:before="0" w:after="20" w:line="240" w:lineRule="auto"/>
              <w:jc w:val="center"/>
            </w:pPr>
            <w:r>
              <w:rPr>
                <w:b/>
                <w:color w:val="000000"/>
                <w:sz w:val="18"/>
              </w:rPr>
              <w:t>Código</w:t>
            </w:r>
          </w:p>
        </w:tc>
        <w:tc>
          <w:tcPr>
            <w:tcW w:type="dxa" w:w="2847"/>
            <w:vAlign w:val="center"/>
            <w:tcMar>
              <w:top w:w="75" w:type="dxa"/>
              <w:bottom w:w="75" w:type="dxa"/>
              <w:left w:w="90" w:type="dxa"/>
              <w:right w:w="90" w:type="dxa"/>
            </w:tcMar>
            <w:shd w:fill="E8E8E8"/>
          </w:tcPr>
          <w:p>
            <w:pPr>
              <w:keepNext/>
              <w:widowControl/>
              <w:spacing w:before="0" w:after="20" w:line="240" w:lineRule="auto"/>
              <w:jc w:val="center"/>
            </w:pPr>
            <w:r>
              <w:rPr>
                <w:b/>
                <w:color w:val="000000"/>
                <w:sz w:val="18"/>
              </w:rPr>
              <w:t>Revisión</w:t>
            </w:r>
          </w:p>
        </w:tc>
        <w:tc>
          <w:tcPr>
            <w:tcW w:type="dxa" w:w="2440"/>
            <w:vAlign w:val="center"/>
            <w:tcMar>
              <w:top w:w="75" w:type="dxa"/>
              <w:bottom w:w="75" w:type="dxa"/>
              <w:left w:w="90" w:type="dxa"/>
              <w:right w:w="90" w:type="dxa"/>
            </w:tcMar>
            <w:shd w:fill="E8E8E8"/>
          </w:tcPr>
          <w:p>
            <w:pPr>
              <w:keepNext/>
              <w:widowControl/>
              <w:spacing w:before="0" w:after="20" w:line="240" w:lineRule="auto"/>
              <w:jc w:val="center"/>
            </w:pPr>
            <w:r>
              <w:rPr>
                <w:b/>
                <w:color w:val="000000"/>
                <w:sz w:val="18"/>
              </w:rPr>
              <w:t>Emisión</w:t>
            </w:r>
          </w:p>
        </w:tc>
        <w:tc>
          <w:tcPr>
            <w:tcW w:type="dxa" w:w="2440"/>
            <w:vAlign w:val="center"/>
            <w:tcMar>
              <w:top w:w="75" w:type="dxa"/>
              <w:bottom w:w="75" w:type="dxa"/>
              <w:left w:w="90" w:type="dxa"/>
              <w:right w:w="90" w:type="dxa"/>
            </w:tcMar>
            <w:shd w:fill="E8E8E8"/>
          </w:tcPr>
          <w:p>
            <w:pPr>
              <w:keepNext/>
              <w:widowControl/>
              <w:spacing w:before="0" w:after="20" w:line="240" w:lineRule="auto"/>
              <w:jc w:val="center"/>
            </w:pPr>
            <w:r>
              <w:rPr>
                <w:b/>
                <w:color w:val="000000"/>
                <w:sz w:val="18"/>
              </w:rPr>
              <w:t>Estado</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CC-RG-05</w:t>
            </w:r>
          </w:p>
        </w:tc>
        <w:tc>
          <w:tcPr>
            <w:tcW w:type="dxa" w:w="284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03</w:t>
            </w:r>
          </w:p>
        </w:tc>
        <w:tc>
          <w:tcPr>
            <w:tcW w:type="dxa" w:w="2440"/>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2025-12-18</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Vigente</w:t>
            </w:r>
          </w:p>
        </w:tc>
      </w:tr>
    </w:tbl>
    <w:p>
      <w:pPr>
        <w:spacing w:after="20" w:before="0" w:line="240" w:lineRule="auto"/>
      </w:pPr>
      <w:r>
        <w:rPr>
          <w:sz w:val="4"/>
        </w:rPr>
      </w:r>
    </w:p>
    <w:p>
      <w:pPr>
        <w:spacing w:after="60"/>
      </w:pPr>
      <w:r>
        <w:rPr>
          <w:b/>
        </w:rPr>
        <w:t xml:space="preserve">Tipo y área: </w:t>
      </w:r>
      <w:r>
        <w:t>Registro diligenciado | Talento humano y Calidad</w:t>
      </w:r>
    </w:p>
    <w:p>
      <w:pPr>
        <w:spacing w:after="60"/>
      </w:pPr>
      <w:r>
        <w:rPr>
          <w:b/>
        </w:rPr>
        <w:t xml:space="preserve">Responsable: </w:t>
      </w:r>
      <w:r>
        <w:t>Clara Ramírez y Ricardo Muñoz</w:t>
      </w:r>
    </w:p>
    <w:p>
      <w:pPr>
        <w:spacing w:after="60"/>
      </w:pPr>
      <w:r>
        <w:rPr>
          <w:b/>
        </w:rPr>
        <w:t xml:space="preserve">Aprobación interna: </w:t>
      </w:r>
      <w:r>
        <w:t>Valentina Ríos</w:t>
      </w:r>
    </w:p>
    <w:p>
      <w:pPr>
        <w:spacing w:before="100"/>
      </w:pPr>
      <w:r>
        <w:t>Se conservan ejemplos de formación, evaluación de competencia y control de instrumentos utilizados para revisar servicios. Las tablas corresponden a una muestra de actividad del periodo; no son el registro completo de los 200 empleados.</w:t>
      </w:r>
    </w:p>
    <w:p>
      <w:r>
        <w:rPr>
          <w:sz w:val="18"/>
        </w:rPr>
        <w:t>Referencia temática ISO 9001:2015: 7.1.5, 7.2, 7.3, 7.1.6.</w:t>
      </w:r>
    </w:p>
    <w:p>
      <w:pPr>
        <w:pStyle w:val="Heading1"/>
      </w:pPr>
      <w:r>
        <w:t>Responsabilidad y cobertura</w:t>
      </w:r>
    </w:p>
    <w:p>
      <w:r>
        <w:t>Camila Duarte figura como titular inactiva de Talento humano en la relación de personal. Clara Ramírez, EMP-020, ejecuta la coordinación operativa por delegación DG-2025-017. Los supervisores conservan la responsabilidad de comprobar la aplicación de lo aprendido y de limitar tareas cuando la evidencia no es suficiente.</w:t>
      </w:r>
    </w:p>
    <w:p>
      <w:r>
        <w:t>El programa incluye inducción, transferencia de cambios de diseño, trazabilidad de series y tratamiento de reclamaciones. Cada actividad deja asistencia, evaluación y, cuando procede, observación posterior. La matriz completa del personal se administra en el proceso CC-CP-03; aquí se muestra el seguimiento de casos concretos.</w:t>
      </w:r>
    </w:p>
    <w:p>
      <w:pPr>
        <w:pStyle w:val="Heading1"/>
      </w:pPr>
      <w:r>
        <w:t>Actividades de formación realizadas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43"/>
        <w:gridCol w:w="4270"/>
        <w:gridCol w:w="3253"/>
      </w:tblGrid>
      <w:tr>
        <w:trPr>
          <w:tblHeader w:val="true"/>
          <w:cantSplit/>
        </w:trPr>
        <w:tc>
          <w:tcPr>
            <w:tcW w:type="dxa" w:w="2643"/>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Actividad y fecha</w:t>
            </w:r>
          </w:p>
        </w:tc>
        <w:tc>
          <w:tcPr>
            <w:tcW w:type="dxa" w:w="4270"/>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Participantes de la muestra</w:t>
            </w:r>
          </w:p>
        </w:tc>
        <w:tc>
          <w:tcPr>
            <w:tcW w:type="dxa" w:w="3253"/>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Resultado</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TR-2025-031; 2025-09-17; operación y cuidado de equipo</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Dos operarios designados por CUS-003; facilitador Óscar Benítez.</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Demostración de arranque, limpieza diaria y avisos. Ambos cumplen lista de uso inicial.</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TR-2025-038; 2025-10-08; gestión de reclamaciones</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Mariana León y dos colaboradores de Servicio al cliente.</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Tres casos resueltos correctamente en ejercicio; seguimiento de tickets programado.</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TR-2025-042; 2025-10-22; conciliación de series</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Paola Cárdenas y cuatro colaboradores de Inventarios.</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Asistencia 5 de 5; ejercicio escrito 4 de 5 satisfactorio. Aplicación práctica pendiente para parte del grupo.</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TR-2025-046; 2025-11-20; retiro de versiones</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Óscar Benítez y responsables de paquetes de Montaje.</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Demostración de consulta y retiro; verificación posterior relacionada con AC-2025-018.</w:t>
            </w:r>
          </w:p>
        </w:tc>
      </w:tr>
    </w:tbl>
    <w:p>
      <w:pPr>
        <w:spacing w:after="20" w:before="0" w:line="240" w:lineRule="auto"/>
      </w:pPr>
      <w:r>
        <w:rPr>
          <w:sz w:val="4"/>
        </w:rPr>
      </w:r>
    </w:p>
    <w:p>
      <w:pPr>
        <w:pStyle w:val="Heading1"/>
      </w:pPr>
      <w:r>
        <w:t>Verificación de eficacia de TR 2025 042</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50"/>
        <w:gridCol w:w="7116"/>
      </w:tblGrid>
      <w:tr>
        <w:trPr>
          <w:tblHeader w:val="true"/>
          <w:cantSplit/>
        </w:trPr>
        <w:tc>
          <w:tcPr>
            <w:tcW w:type="dxa" w:w="3050"/>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Campo</w:t>
            </w:r>
          </w:p>
        </w:tc>
        <w:tc>
          <w:tcPr>
            <w:tcW w:type="dxa" w:w="7116"/>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Registro</w:t>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Tarea observada</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t>Conciliar una serie física con reserva de proyecto y registro de inventario.</w:t>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Criterio</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t>Cinco casos consecutivos sin discrepancia no explicada y escalamiento correcto de una excepción.</w:t>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Responsable previsto</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t>Paola Cárdenas.</w:t>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Fecha prevista inicial</w:t>
            </w:r>
          </w:p>
        </w:tc>
        <w:tc>
          <w:tcPr>
            <w:tcW w:type="dxa" w:w="7116"/>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2025-11-07.</w:t>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Fecha de revisión del seguimiento</w:t>
            </w:r>
          </w:p>
        </w:tc>
        <w:tc>
          <w:tcPr>
            <w:tcW w:type="dxa" w:w="7116"/>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2025-12-18.</w:t>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Validó eficacia</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Condición de trabajo</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t>Conciliación del segundo turno bajo supervisión hasta completar la observación.</w:t>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Reprogramación</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t>2026-01-09; seguimiento mediante AC-2025-019 en CC-RG-04.</w:t>
            </w:r>
          </w:p>
        </w:tc>
      </w:tr>
    </w:tbl>
    <w:p>
      <w:pPr>
        <w:spacing w:after="20" w:before="0" w:line="240" w:lineRule="auto"/>
      </w:pPr>
      <w:r>
        <w:rPr>
          <w:sz w:val="4"/>
        </w:rPr>
      </w:r>
    </w:p>
    <w:p>
      <w:pPr>
        <w:pStyle w:val="Heading1"/>
      </w:pPr>
      <w:r>
        <w:t>Conocimiento transferido al servicio</w:t>
      </w:r>
    </w:p>
    <w:p>
      <w:r>
        <w:t>Del ticket TCK-2025-0419 se incorporó una explicación sobre cambio de mezcla y ajuste del molino a la formación de cierre de proyecto. Andrés Molina revisa el contenido con Montaje; Mariana confirma que soporte utiliza la misma orientación. El cambio se conserva como lección de servicio y no se usa para atribuir al cliente toda la responsabilidad de la incidencia.</w:t>
      </w:r>
    </w:p>
    <w:p>
      <w:r>
        <w:t>Los materiales externos de fabricante son referencias controladas, no anexos incluidos en este conjunto. Si una nueva revisión modifica un criterio de intervención, Ricardo determina el alcance y Clara organiza la actualización de los colaboradores afectados.</w:t>
      </w:r>
    </w:p>
    <w:p>
      <w:pPr>
        <w:pStyle w:val="Heading1"/>
      </w:pPr>
      <w:r>
        <w:t>Equipos de seguimiento y medición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43"/>
        <w:gridCol w:w="4270"/>
        <w:gridCol w:w="3253"/>
      </w:tblGrid>
      <w:tr>
        <w:trPr>
          <w:tblHeader w:val="true"/>
          <w:cantSplit/>
        </w:trPr>
        <w:tc>
          <w:tcPr>
            <w:tcW w:type="dxa" w:w="2643"/>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Identificación</w:t>
            </w:r>
          </w:p>
        </w:tc>
        <w:tc>
          <w:tcPr>
            <w:tcW w:type="dxa" w:w="4270"/>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Uso y comprobación</w:t>
            </w:r>
          </w:p>
        </w:tc>
        <w:tc>
          <w:tcPr>
            <w:tcW w:type="dxa" w:w="3253"/>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Estado al corte</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EQ-BC-07; balanza de control</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Verificar porciones durante ajuste. Revisión externa registrada 2025-07-08; próximo control 2026-07-08.</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Apta; comprobación previa de cero y estabilidad.</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EQ-TM-03; termómetro portátil</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Comprobaciones de temperatura cuando el procedimiento de servicio lo requiere. Control registrado 2025-03-12; próximo 2026-03-12.</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Apto; revisar integridad y condición antes de uso.</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EQ-MM-02; multímetro</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Comprobación por personal competente. Vencimiento de control 2025-10-31.</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Retirado desde 2025-11-03; etiqueta NO USAR; reposición temporal por EQ-MM-04.</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EQ-MM-04; multímetro de respaldo</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Control registrado 2025-08-19; próximo 2026-08-19.</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Apto; asignado a equipo de Montaje.</w:t>
            </w:r>
          </w:p>
        </w:tc>
      </w:tr>
    </w:tbl>
    <w:p>
      <w:pPr>
        <w:spacing w:after="20" w:before="0" w:line="240" w:lineRule="auto"/>
      </w:pPr>
      <w:r>
        <w:rPr>
          <w:sz w:val="4"/>
        </w:rPr>
      </w:r>
    </w:p>
    <w:p>
      <w:pPr>
        <w:pStyle w:val="Heading1"/>
      </w:pPr>
      <w:r>
        <w:t>Tratamiento de EQ MM 02</w:t>
      </w:r>
    </w:p>
    <w:p>
      <w:r>
        <w:t>El 2025-11-03 Óscar detectó el vencimiento de EQ-MM-02 durante la revisión de salida. Lo retiró y avisó a Ricardo. Se identificaron dos órdenes del 2025-11-01 en las que pudo haberse utilizado el instrumento. Montaje repitió las comprobaciones con EQ-MM-04 el 2025-11-04; no encontró resultados fuera de criterio y registró el cierre de esas verificaciones.</w:t>
      </w:r>
    </w:p>
    <w:p>
      <w:r>
        <w:t>La revisión del impacto cubrió los resultados previos afectados, no solo el instrumento. EQ-MM-02 permanece bloqueado al corte; no se presenta como vigente por tener una revisión solicitada. El próximo uso depende de evaluación, control satisfactorio y liberación documentada.</w:t>
      </w:r>
    </w:p>
    <w:p>
      <w:r>
        <w:t>Las fechas y resultados anteriores son asientos internos de este expediente. Los certificados del proveedor de calibración y las órdenes originales no se adjuntan en este lote; no se inventa un número de acreditación o un certificado de laboratorio.</w:t>
      </w:r>
    </w:p>
    <w:p>
      <w:pPr>
        <w:pStyle w:val="Heading1"/>
      </w:pPr>
      <w:r>
        <w:t>Seguimiento y conservación</w:t>
      </w:r>
    </w:p>
    <w:p>
      <w:r>
        <w:t>Ricardo consolida mensualmente los vencimientos próximos y las incidencias que puedan afectar resultados de servicio. Clara conserva la relación entre necesidad, actividad, participante y verificación. La Dirección revisa la asignación de tiempo y recursos cuando una acción depende de capacitación o sustitución de equipo.</w:t>
      </w:r>
    </w:p>
    <w:p>
      <w:r>
        <w:t>La conservación de estos ejemplos sigue CC-PR-01. Una celda pendiente se mantiene vacía hasta recibir evidencia; nadie debe completarla por inferencia a partir de una asistencia o de un correo de convocatoria.</w:t>
      </w:r>
    </w:p>
    <w:p>
      <w:pPr>
        <w:pStyle w:val="Heading1"/>
      </w:pPr>
      <w:r>
        <w:t>Documentos relacionados</w:t>
      </w:r>
    </w:p>
    <w:p>
      <w:r>
        <w:t>CC-CP-03 | CC-CP-12 | CC-CP-16 | CC-PR-01 | CC-PR-05 | CC-RG-03 | CC-RG-04</w:t>
      </w:r>
    </w:p>
    <w:p>
      <w:pPr>
        <w:pStyle w:val="Heading1"/>
      </w:pPr>
      <w:r>
        <w:t>Historial de cambios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43"/>
        <w:gridCol w:w="4270"/>
        <w:gridCol w:w="3253"/>
      </w:tblGrid>
      <w:tr>
        <w:trPr>
          <w:tblHeader w:val="true"/>
          <w:cantSplit/>
        </w:trPr>
        <w:tc>
          <w:tcPr>
            <w:tcW w:type="dxa" w:w="2643"/>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Revisión</w:t>
            </w:r>
          </w:p>
        </w:tc>
        <w:tc>
          <w:tcPr>
            <w:tcW w:type="dxa" w:w="4270"/>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Fecha</w:t>
            </w:r>
          </w:p>
        </w:tc>
        <w:tc>
          <w:tcPr>
            <w:tcW w:type="dxa" w:w="3253"/>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Cambio registrado</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01</w:t>
            </w:r>
          </w:p>
        </w:tc>
        <w:tc>
          <w:tcPr>
            <w:tcW w:type="dxa" w:w="4270"/>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2025-09-17</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Registro inicial de formación vinculada a PRJ-005.</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02</w:t>
            </w:r>
          </w:p>
        </w:tc>
        <w:tc>
          <w:tcPr>
            <w:tcW w:type="dxa" w:w="4270"/>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2025-11-04</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Actualización de formación y tratamiento del equipo vencido.</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03</w:t>
            </w:r>
          </w:p>
        </w:tc>
        <w:tc>
          <w:tcPr>
            <w:tcW w:type="dxa" w:w="4270"/>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2025-12-18</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Seguimiento de eficacia pendiente y estado de equipos.</w:t>
            </w:r>
          </w:p>
        </w:tc>
      </w:tr>
    </w:tbl>
    <w:p>
      <w:pPr>
        <w:spacing w:after="20" w:before="0" w:line="240" w:lineRule="auto"/>
      </w:pPr>
      <w:r>
        <w:rPr>
          <w:sz w:val="4"/>
        </w:rPr>
      </w:r>
    </w:p>
    <w:p>
      <w:r>
        <w:br w:type="page"/>
      </w:r>
    </w:p>
    <w:p>
      <w:pPr>
        <w:pStyle w:val="Title"/>
      </w:pPr>
      <w:r>
        <w:t>Solicitud de cambio y liberación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0"/>
        <w:gridCol w:w="2847"/>
        <w:gridCol w:w="2440"/>
        <w:gridCol w:w="2440"/>
      </w:tblGrid>
      <w:tr>
        <w:trPr>
          <w:tblHeader w:val="true"/>
          <w:cantSplit/>
        </w:trPr>
        <w:tc>
          <w:tcPr>
            <w:tcW w:type="dxa" w:w="2440"/>
            <w:vAlign w:val="center"/>
            <w:tcMar>
              <w:top w:w="75" w:type="dxa"/>
              <w:bottom w:w="75" w:type="dxa"/>
              <w:left w:w="90" w:type="dxa"/>
              <w:right w:w="90" w:type="dxa"/>
            </w:tcMar>
            <w:shd w:fill="E8E8E8"/>
          </w:tcPr>
          <w:p>
            <w:pPr>
              <w:keepNext/>
              <w:widowControl/>
              <w:spacing w:before="0" w:after="20" w:line="240" w:lineRule="auto"/>
              <w:jc w:val="center"/>
            </w:pPr>
            <w:r>
              <w:rPr>
                <w:b/>
                <w:color w:val="000000"/>
                <w:sz w:val="18"/>
              </w:rPr>
              <w:t>Código</w:t>
            </w:r>
          </w:p>
        </w:tc>
        <w:tc>
          <w:tcPr>
            <w:tcW w:type="dxa" w:w="2847"/>
            <w:vAlign w:val="center"/>
            <w:tcMar>
              <w:top w:w="75" w:type="dxa"/>
              <w:bottom w:w="75" w:type="dxa"/>
              <w:left w:w="90" w:type="dxa"/>
              <w:right w:w="90" w:type="dxa"/>
            </w:tcMar>
            <w:shd w:fill="E8E8E8"/>
          </w:tcPr>
          <w:p>
            <w:pPr>
              <w:keepNext/>
              <w:widowControl/>
              <w:spacing w:before="0" w:after="20" w:line="240" w:lineRule="auto"/>
              <w:jc w:val="center"/>
            </w:pPr>
            <w:r>
              <w:rPr>
                <w:b/>
                <w:color w:val="000000"/>
                <w:sz w:val="18"/>
              </w:rPr>
              <w:t>Revisión</w:t>
            </w:r>
          </w:p>
        </w:tc>
        <w:tc>
          <w:tcPr>
            <w:tcW w:type="dxa" w:w="2440"/>
            <w:vAlign w:val="center"/>
            <w:tcMar>
              <w:top w:w="75" w:type="dxa"/>
              <w:bottom w:w="75" w:type="dxa"/>
              <w:left w:w="90" w:type="dxa"/>
              <w:right w:w="90" w:type="dxa"/>
            </w:tcMar>
            <w:shd w:fill="E8E8E8"/>
          </w:tcPr>
          <w:p>
            <w:pPr>
              <w:keepNext/>
              <w:widowControl/>
              <w:spacing w:before="0" w:after="20" w:line="240" w:lineRule="auto"/>
              <w:jc w:val="center"/>
            </w:pPr>
            <w:r>
              <w:rPr>
                <w:b/>
                <w:color w:val="000000"/>
                <w:sz w:val="18"/>
              </w:rPr>
              <w:t>Emisión</w:t>
            </w:r>
          </w:p>
        </w:tc>
        <w:tc>
          <w:tcPr>
            <w:tcW w:type="dxa" w:w="2440"/>
            <w:vAlign w:val="center"/>
            <w:tcMar>
              <w:top w:w="75" w:type="dxa"/>
              <w:bottom w:w="75" w:type="dxa"/>
              <w:left w:w="90" w:type="dxa"/>
              <w:right w:w="90" w:type="dxa"/>
            </w:tcMar>
            <w:shd w:fill="E8E8E8"/>
          </w:tcPr>
          <w:p>
            <w:pPr>
              <w:keepNext/>
              <w:widowControl/>
              <w:spacing w:before="0" w:after="20" w:line="240" w:lineRule="auto"/>
              <w:jc w:val="center"/>
            </w:pPr>
            <w:r>
              <w:rPr>
                <w:b/>
                <w:color w:val="000000"/>
                <w:sz w:val="18"/>
              </w:rPr>
              <w:t>Estado</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CC-FO-01</w:t>
            </w:r>
          </w:p>
        </w:tc>
        <w:tc>
          <w:tcPr>
            <w:tcW w:type="dxa" w:w="284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03</w:t>
            </w:r>
          </w:p>
        </w:tc>
        <w:tc>
          <w:tcPr>
            <w:tcW w:type="dxa" w:w="2440"/>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2025-06-02</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Vigente</w:t>
            </w:r>
          </w:p>
        </w:tc>
      </w:tr>
    </w:tbl>
    <w:p>
      <w:pPr>
        <w:spacing w:after="20" w:before="0" w:line="240" w:lineRule="auto"/>
      </w:pPr>
      <w:r>
        <w:rPr>
          <w:sz w:val="4"/>
        </w:rPr>
      </w:r>
    </w:p>
    <w:p>
      <w:pPr>
        <w:spacing w:after="60"/>
      </w:pPr>
      <w:r>
        <w:rPr>
          <w:b/>
        </w:rPr>
        <w:t xml:space="preserve">Tipo y área: </w:t>
      </w:r>
      <w:r>
        <w:t>Formato sin diligenciar | Diseño de espacios y Montaje</w:t>
      </w:r>
    </w:p>
    <w:p>
      <w:pPr>
        <w:spacing w:after="60"/>
      </w:pPr>
      <w:r>
        <w:rPr>
          <w:b/>
        </w:rPr>
        <w:t xml:space="preserve">Responsable: </w:t>
      </w:r>
      <w:r>
        <w:t>Isabel Restrepo</w:t>
      </w:r>
    </w:p>
    <w:p>
      <w:pPr>
        <w:spacing w:after="60"/>
      </w:pPr>
      <w:r>
        <w:rPr>
          <w:b/>
        </w:rPr>
        <w:t xml:space="preserve">Aprobación interna: </w:t>
      </w:r>
      <w:r>
        <w:t>Ricardo Muñoz</w:t>
      </w:r>
    </w:p>
    <w:p>
      <w:pPr>
        <w:spacing w:before="100"/>
      </w:pPr>
      <w:r>
        <w:t>Este formato se utiliza para evaluar un cambio de requisito, diseño, suministro o instalación y registrar su liberación. Debe existir una decisión antes de ejecutar el alcance afectado, salvo la contención necesaria para proteger a personas o bienes.</w:t>
      </w:r>
    </w:p>
    <w:p>
      <w:r>
        <w:rPr>
          <w:sz w:val="18"/>
        </w:rPr>
        <w:t>Referencia temática ISO 9001:2015: 6.3, 8.3.6, 8.5.6, 8.6.</w:t>
      </w:r>
    </w:p>
    <w:p>
      <w:pPr>
        <w:pStyle w:val="Heading1"/>
      </w:pPr>
      <w:r>
        <w:t>Instrucciones de diligenciamiento</w:t>
      </w:r>
    </w:p>
    <w:p>
      <w:r>
        <w:t>El solicitante identifica el requisito original y la diferencia propuesta. El responsable del proceso valora impacto sobre alcance, conformidad, plazo, recursos, precio y documentos. Si el cambio altera lo convenido, Ventas obtiene la autorización del cliente y conserva la referencia.</w:t>
      </w:r>
    </w:p>
    <w:p>
      <w:r>
        <w:t>Complete solo las casillas aplicables. Cuando un campo no aplique, escriba No aplica y el motivo; una casilla vacía significa pendiente. No utilice este formato para afirmar una aprobación que aún no existe. Las autorizaciones se registran por nombre y fecha, sin copiar firmas de otros documentos.</w:t>
      </w:r>
    </w:p>
    <w:p>
      <w:pPr>
        <w:pStyle w:val="Heading1"/>
      </w:pPr>
      <w:r>
        <w:t>Identificación de la solicitud</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50"/>
        <w:gridCol w:w="7116"/>
      </w:tblGrid>
      <w:tr>
        <w:trPr>
          <w:tblHeader w:val="true"/>
          <w:cantSplit/>
        </w:trPr>
        <w:tc>
          <w:tcPr>
            <w:tcW w:type="dxa" w:w="3050"/>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Campo</w:t>
            </w:r>
          </w:p>
        </w:tc>
        <w:tc>
          <w:tcPr>
            <w:tcW w:type="dxa" w:w="7116"/>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Espacio para completar</w:t>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Número de solicitud y fecha</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Proyecto pedido o servicio</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Cliente y sede</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Solicitante y proceso</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Documento o requisito vigente</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Descripción de la necesidad</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r>
          </w:p>
        </w:tc>
      </w:tr>
    </w:tbl>
    <w:p>
      <w:pPr>
        <w:spacing w:after="20" w:before="0" w:line="240" w:lineRule="auto"/>
      </w:pPr>
      <w:r>
        <w:rPr>
          <w:sz w:val="4"/>
        </w:rPr>
      </w:r>
    </w:p>
    <w:p>
      <w:pPr>
        <w:pStyle w:val="Heading1"/>
      </w:pPr>
      <w:r>
        <w:t>Evaluación y alternativas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50"/>
        <w:gridCol w:w="7116"/>
      </w:tblGrid>
      <w:tr>
        <w:trPr>
          <w:tblHeader w:val="true"/>
          <w:cantSplit/>
        </w:trPr>
        <w:tc>
          <w:tcPr>
            <w:tcW w:type="dxa" w:w="3050"/>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Aspecto</w:t>
            </w:r>
          </w:p>
        </w:tc>
        <w:tc>
          <w:tcPr>
            <w:tcW w:type="dxa" w:w="7116"/>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Resultado y responsable</w:t>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Cambio propuesto y motivo</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Consecuencia de no efectuarlo</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Impacto técnico y conformidad</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Impacto en plazo y recursos</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Impacto económico neto e impuestos por determinar</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Riesgos y controles</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Alternativas consideradas</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r>
          </w:p>
        </w:tc>
      </w:tr>
    </w:tbl>
    <w:p>
      <w:pPr>
        <w:spacing w:after="20" w:before="0" w:line="240" w:lineRule="auto"/>
      </w:pPr>
      <w:r>
        <w:rPr>
          <w:sz w:val="4"/>
        </w:rPr>
      </w:r>
    </w:p>
    <w:p>
      <w:pPr>
        <w:pStyle w:val="Heading1"/>
      </w:pPr>
      <w:r>
        <w:t>Decisión y comunicación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50"/>
        <w:gridCol w:w="7116"/>
      </w:tblGrid>
      <w:tr>
        <w:trPr>
          <w:tblHeader w:val="true"/>
          <w:cantSplit/>
        </w:trPr>
        <w:tc>
          <w:tcPr>
            <w:tcW w:type="dxa" w:w="3050"/>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Campo</w:t>
            </w:r>
          </w:p>
        </w:tc>
        <w:tc>
          <w:tcPr>
            <w:tcW w:type="dxa" w:w="7116"/>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Espacio para completar</w:t>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Decisión aprobar rechazar o devolver</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Condiciones y restricciones</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Responsable interno y fecha</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Autorización del cliente cuando aplica</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Nueva revisión documental y fecha efectiva</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Destinatarios y retiro de la versión anterior</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r>
          </w:p>
        </w:tc>
      </w:tr>
    </w:tbl>
    <w:p>
      <w:pPr>
        <w:spacing w:after="20" w:before="0" w:line="240" w:lineRule="auto"/>
      </w:pPr>
      <w:r>
        <w:rPr>
          <w:sz w:val="4"/>
        </w:rPr>
      </w:r>
    </w:p>
    <w:p>
      <w:pPr>
        <w:pStyle w:val="Heading1"/>
      </w:pPr>
      <w:r>
        <w:t>Comprobación y liberación</w:t>
      </w:r>
    </w:p>
    <w:p>
      <w:r>
        <w:t>La persona que comprueba el resultado contrasta la ejecución con la decisión y anota la evidencia. Si encuentra una diferencia, mantiene sin liberar el resultado afectado y remite a CC-FO-02. El dueño del proceso informa a los destinatarios cuando la nueva condición queda habilitada.</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50"/>
        <w:gridCol w:w="7116"/>
      </w:tblGrid>
      <w:tr>
        <w:trPr>
          <w:tblHeader w:val="true"/>
          <w:cantSplit/>
        </w:trPr>
        <w:tc>
          <w:tcPr>
            <w:tcW w:type="dxa" w:w="3050"/>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Campo</w:t>
            </w:r>
          </w:p>
        </w:tc>
        <w:tc>
          <w:tcPr>
            <w:tcW w:type="dxa" w:w="7116"/>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Espacio para completar</w:t>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Criterios de comprobación</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Resultado y evidencia</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Desviaciones pendientes</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Decisión de liberación y responsable</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Fecha de liberación</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Entrega al siguiente proceso y confirmación</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r>
          </w:p>
        </w:tc>
      </w:tr>
    </w:tbl>
    <w:p>
      <w:pPr>
        <w:spacing w:after="20" w:before="0" w:line="240" w:lineRule="auto"/>
      </w:pPr>
      <w:r>
        <w:rPr>
          <w:sz w:val="4"/>
        </w:rPr>
      </w:r>
    </w:p>
    <w:p>
      <w:pPr>
        <w:pStyle w:val="Heading1"/>
      </w:pPr>
      <w:r>
        <w:t>Cierre y archivo</w:t>
      </w:r>
    </w:p>
    <w:p>
      <w:r>
        <w:t>Conserve el formato con el proyecto o pedido correspondiente y vincúlelo al registro de cambios. La conservación y el retiro de copias siguen CC-PR-01. La liberación parcial debe identificar exactamente el componente habilitado; no habilita el resto por extensión.</w:t>
      </w:r>
    </w:p>
    <w:p>
      <w:pPr>
        <w:pStyle w:val="Heading1"/>
      </w:pPr>
      <w:r>
        <w:t>Documentos relacionados</w:t>
      </w:r>
    </w:p>
    <w:p>
      <w:r>
        <w:t>CC-PR-01 | CC-PR-02 | CC-CP-15 | CC-CP-12 | CC-FO-02</w:t>
      </w:r>
    </w:p>
    <w:p>
      <w:pPr>
        <w:pStyle w:val="Heading1"/>
      </w:pPr>
      <w:r>
        <w:t>Historial de cambios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43"/>
        <w:gridCol w:w="4270"/>
        <w:gridCol w:w="3253"/>
      </w:tblGrid>
      <w:tr>
        <w:trPr>
          <w:tblHeader w:val="true"/>
          <w:cantSplit/>
        </w:trPr>
        <w:tc>
          <w:tcPr>
            <w:tcW w:type="dxa" w:w="2643"/>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Revisión</w:t>
            </w:r>
          </w:p>
        </w:tc>
        <w:tc>
          <w:tcPr>
            <w:tcW w:type="dxa" w:w="4270"/>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Fecha</w:t>
            </w:r>
          </w:p>
        </w:tc>
        <w:tc>
          <w:tcPr>
            <w:tcW w:type="dxa" w:w="3253"/>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Cambio registrado</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03</w:t>
            </w:r>
          </w:p>
        </w:tc>
        <w:tc>
          <w:tcPr>
            <w:tcW w:type="dxa" w:w="4270"/>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2025-06-02</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Emisión y revisión del expediente del periodo.</w:t>
            </w:r>
          </w:p>
        </w:tc>
      </w:tr>
    </w:tbl>
    <w:p>
      <w:pPr>
        <w:spacing w:after="20" w:before="0" w:line="240" w:lineRule="auto"/>
      </w:pPr>
      <w:r>
        <w:rPr>
          <w:sz w:val="4"/>
        </w:rPr>
      </w:r>
    </w:p>
    <w:p>
      <w:r>
        <w:br w:type="page"/>
      </w:r>
    </w:p>
    <w:p>
      <w:pPr>
        <w:pStyle w:val="Title"/>
      </w:pPr>
      <w:r>
        <w:t>Reporte de no conformidad</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0"/>
        <w:gridCol w:w="2847"/>
        <w:gridCol w:w="2440"/>
        <w:gridCol w:w="2440"/>
      </w:tblGrid>
      <w:tr>
        <w:trPr>
          <w:tblHeader w:val="true"/>
          <w:cantSplit/>
        </w:trPr>
        <w:tc>
          <w:tcPr>
            <w:tcW w:type="dxa" w:w="2440"/>
            <w:vAlign w:val="center"/>
            <w:tcMar>
              <w:top w:w="75" w:type="dxa"/>
              <w:bottom w:w="75" w:type="dxa"/>
              <w:left w:w="90" w:type="dxa"/>
              <w:right w:w="90" w:type="dxa"/>
            </w:tcMar>
            <w:shd w:fill="E8E8E8"/>
          </w:tcPr>
          <w:p>
            <w:pPr>
              <w:keepNext/>
              <w:widowControl/>
              <w:spacing w:before="0" w:after="20" w:line="240" w:lineRule="auto"/>
              <w:jc w:val="center"/>
            </w:pPr>
            <w:r>
              <w:rPr>
                <w:b/>
                <w:color w:val="000000"/>
                <w:sz w:val="18"/>
              </w:rPr>
              <w:t>Código</w:t>
            </w:r>
          </w:p>
        </w:tc>
        <w:tc>
          <w:tcPr>
            <w:tcW w:type="dxa" w:w="2847"/>
            <w:vAlign w:val="center"/>
            <w:tcMar>
              <w:top w:w="75" w:type="dxa"/>
              <w:bottom w:w="75" w:type="dxa"/>
              <w:left w:w="90" w:type="dxa"/>
              <w:right w:w="90" w:type="dxa"/>
            </w:tcMar>
            <w:shd w:fill="E8E8E8"/>
          </w:tcPr>
          <w:p>
            <w:pPr>
              <w:keepNext/>
              <w:widowControl/>
              <w:spacing w:before="0" w:after="20" w:line="240" w:lineRule="auto"/>
              <w:jc w:val="center"/>
            </w:pPr>
            <w:r>
              <w:rPr>
                <w:b/>
                <w:color w:val="000000"/>
                <w:sz w:val="18"/>
              </w:rPr>
              <w:t>Revisión</w:t>
            </w:r>
          </w:p>
        </w:tc>
        <w:tc>
          <w:tcPr>
            <w:tcW w:type="dxa" w:w="2440"/>
            <w:vAlign w:val="center"/>
            <w:tcMar>
              <w:top w:w="75" w:type="dxa"/>
              <w:bottom w:w="75" w:type="dxa"/>
              <w:left w:w="90" w:type="dxa"/>
              <w:right w:w="90" w:type="dxa"/>
            </w:tcMar>
            <w:shd w:fill="E8E8E8"/>
          </w:tcPr>
          <w:p>
            <w:pPr>
              <w:keepNext/>
              <w:widowControl/>
              <w:spacing w:before="0" w:after="20" w:line="240" w:lineRule="auto"/>
              <w:jc w:val="center"/>
            </w:pPr>
            <w:r>
              <w:rPr>
                <w:b/>
                <w:color w:val="000000"/>
                <w:sz w:val="18"/>
              </w:rPr>
              <w:t>Emisión</w:t>
            </w:r>
          </w:p>
        </w:tc>
        <w:tc>
          <w:tcPr>
            <w:tcW w:type="dxa" w:w="2440"/>
            <w:vAlign w:val="center"/>
            <w:tcMar>
              <w:top w:w="75" w:type="dxa"/>
              <w:bottom w:w="75" w:type="dxa"/>
              <w:left w:w="90" w:type="dxa"/>
              <w:right w:w="90" w:type="dxa"/>
            </w:tcMar>
            <w:shd w:fill="E8E8E8"/>
          </w:tcPr>
          <w:p>
            <w:pPr>
              <w:keepNext/>
              <w:widowControl/>
              <w:spacing w:before="0" w:after="20" w:line="240" w:lineRule="auto"/>
              <w:jc w:val="center"/>
            </w:pPr>
            <w:r>
              <w:rPr>
                <w:b/>
                <w:color w:val="000000"/>
                <w:sz w:val="18"/>
              </w:rPr>
              <w:t>Estado</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CC-FO-02</w:t>
            </w:r>
          </w:p>
        </w:tc>
        <w:tc>
          <w:tcPr>
            <w:tcW w:type="dxa" w:w="284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04</w:t>
            </w:r>
          </w:p>
        </w:tc>
        <w:tc>
          <w:tcPr>
            <w:tcW w:type="dxa" w:w="2440"/>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2025-07-01</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Vigente</w:t>
            </w:r>
          </w:p>
        </w:tc>
      </w:tr>
    </w:tbl>
    <w:p>
      <w:pPr>
        <w:spacing w:after="20" w:before="0" w:line="240" w:lineRule="auto"/>
      </w:pPr>
      <w:r>
        <w:rPr>
          <w:sz w:val="4"/>
        </w:rPr>
      </w:r>
    </w:p>
    <w:p>
      <w:pPr>
        <w:spacing w:after="60"/>
      </w:pPr>
      <w:r>
        <w:rPr>
          <w:b/>
        </w:rPr>
        <w:t xml:space="preserve">Tipo y área: </w:t>
      </w:r>
      <w:r>
        <w:t>Formato sin diligenciar | Calidad y posventa</w:t>
      </w:r>
    </w:p>
    <w:p>
      <w:pPr>
        <w:spacing w:after="60"/>
      </w:pPr>
      <w:r>
        <w:rPr>
          <w:b/>
        </w:rPr>
        <w:t xml:space="preserve">Responsable: </w:t>
      </w:r>
      <w:r>
        <w:t>Ricardo Muñoz</w:t>
      </w:r>
    </w:p>
    <w:p>
      <w:pPr>
        <w:spacing w:after="60"/>
      </w:pPr>
      <w:r>
        <w:rPr>
          <w:b/>
        </w:rPr>
        <w:t xml:space="preserve">Aprobación interna: </w:t>
      </w:r>
      <w:r>
        <w:t>Valentina Ríos</w:t>
      </w:r>
    </w:p>
    <w:p>
      <w:pPr>
        <w:spacing w:before="100"/>
      </w:pPr>
      <w:r>
        <w:t>Este formato registra un incumplimiento de requisito, la contención de su efecto y la decisión sobre acciones correctivas. Se usa para resultados de servicio, suministros y fallas del sistema; una queja se vincula a su ticket para no perder el contacto con el cliente.</w:t>
      </w:r>
    </w:p>
    <w:p>
      <w:r>
        <w:rPr>
          <w:sz w:val="18"/>
        </w:rPr>
        <w:t>Referencia temática ISO 9001:2015: 8.7, 10.2.</w:t>
      </w:r>
    </w:p>
    <w:p>
      <w:pPr>
        <w:pStyle w:val="Heading1"/>
      </w:pPr>
      <w:r>
        <w:t>Uso del formato</w:t>
      </w:r>
    </w:p>
    <w:p>
      <w:r>
        <w:t>Describa el hecho observado, el requisito y la evidencia por separado. Evite atribuir culpa o causa antes del análisis. El responsable del proceso contiene el problema y solicita apoyo de Calidad cuando el impacto alcance a más de un proceso.</w:t>
      </w:r>
    </w:p>
    <w:p>
      <w:r>
        <w:t>Las fechas, nombres y referencias deben corresponder a actuaciones reales dentro del expediente que se documenta. La corrección inmediata no cierra una acción correctiva: el cierre requiere revisar la eficacia cuando se haya decidido actuar sobre la causa.</w:t>
      </w:r>
    </w:p>
    <w:p>
      <w:pPr>
        <w:pStyle w:val="Heading1"/>
      </w:pPr>
      <w:r>
        <w:t>Identificación y evidencia</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50"/>
        <w:gridCol w:w="7116"/>
      </w:tblGrid>
      <w:tr>
        <w:trPr>
          <w:tblHeader w:val="true"/>
          <w:cantSplit/>
        </w:trPr>
        <w:tc>
          <w:tcPr>
            <w:tcW w:type="dxa" w:w="3050"/>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Campo</w:t>
            </w:r>
          </w:p>
        </w:tc>
        <w:tc>
          <w:tcPr>
            <w:tcW w:type="dxa" w:w="7116"/>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Espacio para completar</w:t>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Número de reporte y fecha de detección</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Proceso sede y responsable</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Origen auditoría queja inspección u otro</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Proyecto pedido ticket lote o serie</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Requisito incumplido</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Hecho observado y evidencia</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Personas o resultados potencialmente afectados</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r>
          </w:p>
        </w:tc>
      </w:tr>
    </w:tbl>
    <w:p>
      <w:pPr>
        <w:spacing w:after="20" w:before="0" w:line="240" w:lineRule="auto"/>
      </w:pPr>
      <w:r>
        <w:rPr>
          <w:sz w:val="4"/>
        </w:rPr>
      </w:r>
    </w:p>
    <w:p>
      <w:pPr>
        <w:pStyle w:val="Heading1"/>
      </w:pPr>
      <w:r>
        <w:t>Contención y disposición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50"/>
        <w:gridCol w:w="7116"/>
      </w:tblGrid>
      <w:tr>
        <w:trPr>
          <w:tblHeader w:val="true"/>
          <w:cantSplit/>
        </w:trPr>
        <w:tc>
          <w:tcPr>
            <w:tcW w:type="dxa" w:w="3050"/>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Campo</w:t>
            </w:r>
          </w:p>
        </w:tc>
        <w:tc>
          <w:tcPr>
            <w:tcW w:type="dxa" w:w="7116"/>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Espacio para completar</w:t>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Medida inmediata y responsable</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Identificación y separación del resultado afectado</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Comunicación al cliente o proceso siguiente</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Disposición reproceso rechazo devolución u otra</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Autorización y fecha</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Comprobación posterior de la corrección</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r>
          </w:p>
        </w:tc>
      </w:tr>
    </w:tbl>
    <w:p>
      <w:pPr>
        <w:spacing w:after="20" w:before="0" w:line="240" w:lineRule="auto"/>
      </w:pPr>
      <w:r>
        <w:rPr>
          <w:sz w:val="4"/>
        </w:rPr>
      </w:r>
    </w:p>
    <w:p>
      <w:pPr>
        <w:pStyle w:val="Heading1"/>
      </w:pPr>
      <w:r>
        <w:t>Análisis y acción</w:t>
      </w:r>
    </w:p>
    <w:p>
      <w:r>
        <w:t>Determine si el mismo problema existe o puede repetirse en otros casos. Considere condiciones de trabajo, información disponible, controles y recursos. Cuando no se requiera una acción adicional, documente el razonamiento y quién aceptó la decisión.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50"/>
        <w:gridCol w:w="7116"/>
      </w:tblGrid>
      <w:tr>
        <w:trPr>
          <w:tblHeader w:val="true"/>
          <w:cantSplit/>
        </w:trPr>
        <w:tc>
          <w:tcPr>
            <w:tcW w:type="dxa" w:w="3050"/>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Campo</w:t>
            </w:r>
          </w:p>
        </w:tc>
        <w:tc>
          <w:tcPr>
            <w:tcW w:type="dxa" w:w="7116"/>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Espacio para completar</w:t>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Análisis de causa y evidencia</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Revisión de casos similares</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Acción sobre la causa</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Responsable recursos y fecha objetivo</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Cambios en riesgos documentos o formación</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r>
          </w:p>
        </w:tc>
      </w:tr>
    </w:tbl>
    <w:p>
      <w:pPr>
        <w:spacing w:after="20" w:before="0" w:line="240" w:lineRule="auto"/>
      </w:pPr>
      <w:r>
        <w:rPr>
          <w:sz w:val="4"/>
        </w:rPr>
      </w:r>
    </w:p>
    <w:p>
      <w:pPr>
        <w:pStyle w:val="Heading1"/>
      </w:pPr>
      <w:r>
        <w:t>Eficacia y cierre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50"/>
        <w:gridCol w:w="7116"/>
      </w:tblGrid>
      <w:tr>
        <w:trPr>
          <w:tblHeader w:val="true"/>
          <w:cantSplit/>
        </w:trPr>
        <w:tc>
          <w:tcPr>
            <w:tcW w:type="dxa" w:w="3050"/>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Campo</w:t>
            </w:r>
          </w:p>
        </w:tc>
        <w:tc>
          <w:tcPr>
            <w:tcW w:type="dxa" w:w="7116"/>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Espacio para completar</w:t>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Criterio y muestra para verificar eficacia</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Fecha prevista y verificador</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Resultado observado</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Decisión cerrar mantener abierta o reabrir</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Responsable y fecha de cierre</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Referencias de la evidencia conservada</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r>
          </w:p>
        </w:tc>
      </w:tr>
    </w:tbl>
    <w:p>
      <w:pPr>
        <w:spacing w:after="20" w:before="0" w:line="240" w:lineRule="auto"/>
      </w:pPr>
      <w:r>
        <w:rPr>
          <w:sz w:val="4"/>
        </w:rPr>
      </w:r>
    </w:p>
    <w:p>
      <w:pPr>
        <w:pStyle w:val="Heading1"/>
      </w:pPr>
      <w:r>
        <w:t>Escalamiento</w:t>
      </w:r>
    </w:p>
    <w:p>
      <w:r>
        <w:t>Calidad comunica a Dirección las acciones vencidas o sin recursos y aquellas que puedan afectar compromisos con clientes. No suprima una acción porque cambió el año o el responsable. Si la verificación no demuestra eficacia, manténgala abierta y revise el análisis conforme a CC-PR-04.</w:t>
      </w:r>
    </w:p>
    <w:p>
      <w:pPr>
        <w:pStyle w:val="Heading1"/>
      </w:pPr>
      <w:r>
        <w:t>Documentos relacionados</w:t>
      </w:r>
    </w:p>
    <w:p>
      <w:r>
        <w:t>CC-PR-01 | CC-PR-04 | CC-CP-16 | CC-CP-13</w:t>
      </w:r>
    </w:p>
    <w:p>
      <w:pPr>
        <w:pStyle w:val="Heading1"/>
      </w:pPr>
      <w:r>
        <w:t>Historial de cambios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43"/>
        <w:gridCol w:w="4270"/>
        <w:gridCol w:w="3253"/>
      </w:tblGrid>
      <w:tr>
        <w:trPr>
          <w:tblHeader w:val="true"/>
          <w:cantSplit/>
        </w:trPr>
        <w:tc>
          <w:tcPr>
            <w:tcW w:type="dxa" w:w="2643"/>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Revisión</w:t>
            </w:r>
          </w:p>
        </w:tc>
        <w:tc>
          <w:tcPr>
            <w:tcW w:type="dxa" w:w="4270"/>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Fecha</w:t>
            </w:r>
          </w:p>
        </w:tc>
        <w:tc>
          <w:tcPr>
            <w:tcW w:type="dxa" w:w="3253"/>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Cambio registrado</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04</w:t>
            </w:r>
          </w:p>
        </w:tc>
        <w:tc>
          <w:tcPr>
            <w:tcW w:type="dxa" w:w="4270"/>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2025-07-01</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Emisión y revisión del expediente del periodo.</w:t>
            </w:r>
          </w:p>
        </w:tc>
      </w:tr>
    </w:tbl>
    <w:p>
      <w:pPr>
        <w:spacing w:after="20" w:before="0" w:line="240" w:lineRule="auto"/>
      </w:pPr>
      <w:r>
        <w:rPr>
          <w:sz w:val="4"/>
        </w:rPr>
      </w:r>
    </w:p>
    <w:p>
      <w:r>
        <w:br w:type="page"/>
      </w:r>
    </w:p>
    <w:p>
      <w:pPr>
        <w:pStyle w:val="Title"/>
      </w:pPr>
      <w:r>
        <w:t>Revisión por la dirección diciembre 2025</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0"/>
        <w:gridCol w:w="2847"/>
        <w:gridCol w:w="2440"/>
        <w:gridCol w:w="2440"/>
      </w:tblGrid>
      <w:tr>
        <w:trPr>
          <w:tblHeader w:val="true"/>
          <w:cantSplit/>
        </w:trPr>
        <w:tc>
          <w:tcPr>
            <w:tcW w:type="dxa" w:w="2440"/>
            <w:vAlign w:val="center"/>
            <w:tcMar>
              <w:top w:w="75" w:type="dxa"/>
              <w:bottom w:w="75" w:type="dxa"/>
              <w:left w:w="90" w:type="dxa"/>
              <w:right w:w="90" w:type="dxa"/>
            </w:tcMar>
            <w:shd w:fill="E8E8E8"/>
          </w:tcPr>
          <w:p>
            <w:pPr>
              <w:keepNext/>
              <w:widowControl/>
              <w:spacing w:before="0" w:after="20" w:line="240" w:lineRule="auto"/>
              <w:jc w:val="center"/>
            </w:pPr>
            <w:r>
              <w:rPr>
                <w:b/>
                <w:color w:val="000000"/>
                <w:sz w:val="18"/>
              </w:rPr>
              <w:t>Código</w:t>
            </w:r>
          </w:p>
        </w:tc>
        <w:tc>
          <w:tcPr>
            <w:tcW w:type="dxa" w:w="2847"/>
            <w:vAlign w:val="center"/>
            <w:tcMar>
              <w:top w:w="75" w:type="dxa"/>
              <w:bottom w:w="75" w:type="dxa"/>
              <w:left w:w="90" w:type="dxa"/>
              <w:right w:w="90" w:type="dxa"/>
            </w:tcMar>
            <w:shd w:fill="E8E8E8"/>
          </w:tcPr>
          <w:p>
            <w:pPr>
              <w:keepNext/>
              <w:widowControl/>
              <w:spacing w:before="0" w:after="20" w:line="240" w:lineRule="auto"/>
              <w:jc w:val="center"/>
            </w:pPr>
            <w:r>
              <w:rPr>
                <w:b/>
                <w:color w:val="000000"/>
                <w:sz w:val="18"/>
              </w:rPr>
              <w:t>Revisión</w:t>
            </w:r>
          </w:p>
        </w:tc>
        <w:tc>
          <w:tcPr>
            <w:tcW w:type="dxa" w:w="2440"/>
            <w:vAlign w:val="center"/>
            <w:tcMar>
              <w:top w:w="75" w:type="dxa"/>
              <w:bottom w:w="75" w:type="dxa"/>
              <w:left w:w="90" w:type="dxa"/>
              <w:right w:w="90" w:type="dxa"/>
            </w:tcMar>
            <w:shd w:fill="E8E8E8"/>
          </w:tcPr>
          <w:p>
            <w:pPr>
              <w:keepNext/>
              <w:widowControl/>
              <w:spacing w:before="0" w:after="20" w:line="240" w:lineRule="auto"/>
              <w:jc w:val="center"/>
            </w:pPr>
            <w:r>
              <w:rPr>
                <w:b/>
                <w:color w:val="000000"/>
                <w:sz w:val="18"/>
              </w:rPr>
              <w:t>Emisión</w:t>
            </w:r>
          </w:p>
        </w:tc>
        <w:tc>
          <w:tcPr>
            <w:tcW w:type="dxa" w:w="2440"/>
            <w:vAlign w:val="center"/>
            <w:tcMar>
              <w:top w:w="75" w:type="dxa"/>
              <w:bottom w:w="75" w:type="dxa"/>
              <w:left w:w="90" w:type="dxa"/>
              <w:right w:w="90" w:type="dxa"/>
            </w:tcMar>
            <w:shd w:fill="E8E8E8"/>
          </w:tcPr>
          <w:p>
            <w:pPr>
              <w:keepNext/>
              <w:widowControl/>
              <w:spacing w:before="0" w:after="20" w:line="240" w:lineRule="auto"/>
              <w:jc w:val="center"/>
            </w:pPr>
            <w:r>
              <w:rPr>
                <w:b/>
                <w:color w:val="000000"/>
                <w:sz w:val="18"/>
              </w:rPr>
              <w:t>Estado</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CC-AC-01</w:t>
            </w:r>
          </w:p>
        </w:tc>
        <w:tc>
          <w:tcPr>
            <w:tcW w:type="dxa" w:w="284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01</w:t>
            </w:r>
          </w:p>
        </w:tc>
        <w:tc>
          <w:tcPr>
            <w:tcW w:type="dxa" w:w="2440"/>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2025-12-15</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Vigente</w:t>
            </w:r>
          </w:p>
        </w:tc>
      </w:tr>
    </w:tbl>
    <w:p>
      <w:pPr>
        <w:spacing w:after="20" w:before="0" w:line="240" w:lineRule="auto"/>
      </w:pPr>
      <w:r>
        <w:rPr>
          <w:sz w:val="4"/>
        </w:rPr>
      </w:r>
    </w:p>
    <w:p>
      <w:pPr>
        <w:spacing w:after="60"/>
      </w:pPr>
      <w:r>
        <w:rPr>
          <w:b/>
        </w:rPr>
        <w:t xml:space="preserve">Tipo y área: </w:t>
      </w:r>
      <w:r>
        <w:t>Acta diligenciada | Dirección general</w:t>
      </w:r>
    </w:p>
    <w:p>
      <w:pPr>
        <w:spacing w:after="60"/>
      </w:pPr>
      <w:r>
        <w:rPr>
          <w:b/>
        </w:rPr>
        <w:t xml:space="preserve">Responsable: </w:t>
      </w:r>
      <w:r>
        <w:t>Valentina Ríos</w:t>
      </w:r>
    </w:p>
    <w:p>
      <w:pPr>
        <w:spacing w:after="60"/>
      </w:pPr>
      <w:r>
        <w:rPr>
          <w:b/>
        </w:rPr>
        <w:t xml:space="preserve">Aprobación interna: </w:t>
      </w:r>
      <w:r>
        <w:t>Valentina Ríos</w:t>
      </w:r>
    </w:p>
    <w:p>
      <w:pPr>
        <w:spacing w:before="100"/>
      </w:pPr>
      <w:r>
        <w:t>La Dirección revisó el desempeño del sistema de calidad, los recursos y las prioridades del siguiente periodo el 15 de diciembre de 2025. Los indicadores presentados corresponden al corte del 31 de octubre y las cifras anuales se identifican como proyecciones; esta acta no anticipa el cierre contable de diciembre.</w:t>
      </w:r>
    </w:p>
    <w:p>
      <w:r>
        <w:rPr>
          <w:sz w:val="18"/>
        </w:rPr>
        <w:t>Referencia temática ISO 9001:2015: 9.3, 6.2, 6.3, 7.1.</w:t>
      </w:r>
    </w:p>
    <w:p>
      <w:pPr>
        <w:pStyle w:val="Heading1"/>
      </w:pPr>
      <w:r>
        <w:t>Sesión y participantes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50"/>
        <w:gridCol w:w="7116"/>
      </w:tblGrid>
      <w:tr>
        <w:trPr>
          <w:tblHeader w:val="true"/>
          <w:cantSplit/>
        </w:trPr>
        <w:tc>
          <w:tcPr>
            <w:tcW w:type="dxa" w:w="3050"/>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Campo</w:t>
            </w:r>
          </w:p>
        </w:tc>
        <w:tc>
          <w:tcPr>
            <w:tcW w:type="dxa" w:w="7116"/>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Registro</w:t>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Fecha y horario</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t>2025-12-15; de 09:00 a 12:15; sede Bogotá.</w:t>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Preside</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t>Valentina Ríos, Dirección general.</w:t>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Participan</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t>Mateo Salcedo; Sebastián Vélez; Daniela Suárez; Felipe Ospina; Paola Cárdenas; Óscar Benítez; Mariana León; Santiago Robledo; Ricardo Muñoz; Natalia Escobar; Clara Ramírez.</w:t>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Representación de Talento humano</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t>Clara Ramírez actúa por DG-2025-017; Camila Duarte figura inactiva.</w:t>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Insumos</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t>CC-MT-01, CC-MT-02, resultados de auditoría, seguimiento de acciones, reclamaciones, proveedores, recursos y cambios previstos.</w:t>
            </w:r>
          </w:p>
        </w:tc>
      </w:tr>
    </w:tbl>
    <w:p>
      <w:pPr>
        <w:spacing w:after="20" w:before="0" w:line="240" w:lineRule="auto"/>
      </w:pPr>
      <w:r>
        <w:rPr>
          <w:sz w:val="4"/>
        </w:rPr>
      </w:r>
    </w:p>
    <w:p>
      <w:pPr>
        <w:pStyle w:val="Heading1"/>
      </w:pPr>
      <w:r>
        <w:t>Seguimiento de acuerdos anteriores</w:t>
      </w:r>
    </w:p>
    <w:p>
      <w:r>
        <w:t>El acuerdo de septiembre para mejorar la trazabilidad por serie se incorporó al expediente PRJ-005 y a los paquetes posteriores revisados. La Dirección acepta el avance, pero pide verificar la consulta conjunta entre Inventarios y Posventa antes de cerrar la mejora de sistema.</w:t>
      </w:r>
    </w:p>
    <w:p>
      <w:r>
        <w:t>El acuerdo de reforzar formación práctica continúa abierto para el segundo turno de Inventarios. Clara explica que se registró asistencia, pero no terminó la comprobación individual de competencia. Se mantiene supervisión y se conserva AC-2025-019 como acción pendiente.</w:t>
      </w:r>
    </w:p>
    <w:p>
      <w:pPr>
        <w:pStyle w:val="Heading1"/>
      </w:pPr>
      <w:r>
        <w:t>Desempeño presentado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43"/>
        <w:gridCol w:w="4270"/>
        <w:gridCol w:w="3253"/>
      </w:tblGrid>
      <w:tr>
        <w:trPr>
          <w:tblHeader w:val="true"/>
          <w:cantSplit/>
        </w:trPr>
        <w:tc>
          <w:tcPr>
            <w:tcW w:type="dxa" w:w="2643"/>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Indicador y corte</w:t>
            </w:r>
          </w:p>
        </w:tc>
        <w:tc>
          <w:tcPr>
            <w:tcW w:type="dxa" w:w="4270"/>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Resultado presentado</w:t>
            </w:r>
          </w:p>
        </w:tc>
        <w:tc>
          <w:tcPr>
            <w:tcW w:type="dxa" w:w="3253"/>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Evaluación</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Entrega a tiempo; enero a octubre 2025</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92 %; meta interna 95 %.</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Desvío de 3 puntos porcentuales; priorizar confirmación de proveedor y ventanas de entrega.</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CSAT; enero a octubre 2025</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86/100; meta interna 90/100.</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Revisar comunicación de plazo y orientación de uso; no confundir encuesta individual con índice total.</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Devoluciones B2C; enero a octubre 2025</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3,2 %; meta interna máxima 3,0 %.</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Seguir clasificación por motivo y trazabilidad de reemplazos.</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Ingresos FY2025 proyectados al cierre</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COP 36.000 millones; B2B 60 % y B2C 40 %.</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Proyección presentada por Finanzas, sujeta a cierre; no dato contable definitivo al día de la sesión.</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Auditoría interna de noviembre</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2 no conformidades; 1 acción eficaz cerrada y 1 en seguimiento al día de la sesión.</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Acepta resultados y exige terminar verificación pendiente sin completar casillas por inferencia.</w:t>
            </w:r>
          </w:p>
        </w:tc>
      </w:tr>
    </w:tbl>
    <w:p>
      <w:pPr>
        <w:spacing w:after="20" w:before="0" w:line="240" w:lineRule="auto"/>
      </w:pPr>
      <w:r>
        <w:rPr>
          <w:sz w:val="4"/>
        </w:rPr>
      </w:r>
    </w:p>
    <w:p>
      <w:pPr>
        <w:pStyle w:val="Heading1"/>
      </w:pPr>
      <w:r>
        <w:t>Clientes proveedores y conformidad</w:t>
      </w:r>
    </w:p>
    <w:p>
      <w:r>
        <w:t>Mariana presentó el caso TCK-2025-0419: el ticket quedó resuelto y produjo una mejora de formación sobre cambios de mezcla. La Dirección pidió conservar las incidencias resueltas en el análisis, pues cerrar el ticket no elimina su utilidad para prevenir recurrencia.</w:t>
      </w:r>
    </w:p>
    <w:p>
      <w:r>
        <w:t>Daniela informó que SUP-003 obtuvo 88/100 y mantiene aprobación con seguimiento del embalaje y tiempo de respuesta. Compras debe presentar evidencia de las siguientes entregas. No se aprobó sustituir equipos por equivalentes sin revisión del diseño y del compromiso con el cliente.</w:t>
      </w:r>
    </w:p>
    <w:p>
      <w:r>
        <w:t>Ricardo presentó el retiro de EQ-MM-02 y la revisión de resultados potencialmente afectados. La Dirección mantiene el bloqueo del instrumento hasta liberación y conserva la disponibilidad de respaldo, evitando que la presión por entregar suprima una comprobación necesaria.</w:t>
      </w:r>
    </w:p>
    <w:p>
      <w:pPr>
        <w:pStyle w:val="Heading1"/>
      </w:pPr>
      <w:r>
        <w:t>Contexto riesgos y oportunidades</w:t>
      </w:r>
    </w:p>
    <w:p>
      <w:r>
        <w:t>El análisis de contexto mantiene la dependencia de repuestos importados, las restricciones de acceso a los locales y la variación en competencias digitales de los equipos. Se evaluó la influencia de episodios de lluvia sobre rutas y entregas y de interrupciones de agua o energía sobre instalación y prueba de cafeterías. Los responsables incorporan avisos y contingencias al plan de proyecto, sin asumir que toda contingencia pueda eliminarse.</w:t>
      </w:r>
    </w:p>
    <w:p>
      <w:r>
        <w:t>Como oportunidades, la Dirección prioriza un expediente de servicio consultable por serie y una formación breve basada en tareas. Los cambios se evaluarán con pilotos acotados, criterios de resultado y recursos identificados. Tecnología no debe automatizar una regla documental que todavía carece de dueño o criterio de aprobación.</w:t>
      </w:r>
    </w:p>
    <w:p>
      <w:pPr>
        <w:pStyle w:val="Heading1"/>
      </w:pPr>
      <w:r>
        <w:t>Decisiones y recursos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43"/>
        <w:gridCol w:w="4270"/>
        <w:gridCol w:w="3253"/>
      </w:tblGrid>
      <w:tr>
        <w:trPr>
          <w:tblHeader w:val="true"/>
          <w:cantSplit/>
        </w:trPr>
        <w:tc>
          <w:tcPr>
            <w:tcW w:type="dxa" w:w="2643"/>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Acuerdo</w:t>
            </w:r>
          </w:p>
        </w:tc>
        <w:tc>
          <w:tcPr>
            <w:tcW w:type="dxa" w:w="4270"/>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Responsable y fecha</w:t>
            </w:r>
          </w:p>
        </w:tc>
        <w:tc>
          <w:tcPr>
            <w:tcW w:type="dxa" w:w="3253"/>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Recurso y criterio de seguimiento</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DG-2025-041: terminar eficacia de TR-2025-042.</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Clara Ramírez y Paola Cárdenas; 2026-01-15.</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24 horas internas de supervisión; verificar cinco casos consecutivos por participante.</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DG-2025-042: integrar búsqueda por serie.</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Santiago Robledo y Ricardo Muñoz; 2026-02-13.</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Tope interno de COP 12.000.000; revisión de alcance previa a contratar. Recuperar expediente con serie válida y controlar acceso.</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DG-2025-043: mejorar puntualidad.</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Felipe Ospina y Daniela Suárez; revisión 2026-01-30.</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8 horas semanales de coordinación; presentar causas y tendencia contra meta de 95 %.</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DG-2025-044: asegurar equipos aptos.</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Ricardo Muñoz y Óscar Benítez; 2026-01-09.</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Reserva interna COP 4.500.000 para evaluación o reposición; mantener respaldo disponible.</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DG-2025-045: fortalecer orientación al cliente.</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Mariana León y Andrés Molina; 2026-01-23.</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12 horas de revisión de material; muestrear comprensión en tres proyectos entregados.</w:t>
            </w:r>
          </w:p>
        </w:tc>
      </w:tr>
    </w:tbl>
    <w:p>
      <w:pPr>
        <w:spacing w:after="20" w:before="0" w:line="240" w:lineRule="auto"/>
      </w:pPr>
      <w:r>
        <w:rPr>
          <w:sz w:val="4"/>
        </w:rPr>
      </w:r>
    </w:p>
    <w:p>
      <w:pPr>
        <w:pStyle w:val="Heading1"/>
      </w:pPr>
      <w:r>
        <w:t>Conclusión y próxima revisión</w:t>
      </w:r>
    </w:p>
    <w:p>
      <w:r>
        <w:t>La Dirección considera que el sistema permite dirigir los procesos evaluados y conservar trazabilidad, con necesidad de mejorar la puntualidad y la demostración de competencia. Los resultados no justifican eliminar controles para acelerar entregas. Se aprueban las asignaciones internas anteriores sujetas a las reglas de compra y a la comprobación de su disponibilidad por Finanzas.</w:t>
      </w:r>
    </w:p>
    <w:p>
      <w:r>
        <w:t>Ricardo actualizará el seguimiento de acciones y presentará las vencidas en el comité mensual. La próxima revisión formal se programa para el 2026-03-16; una desviación material de cliente o recurso puede adelantarla. El acta registra decisiones internas y no una aprobación de certificación.</w:t>
      </w:r>
    </w:p>
    <w:p>
      <w:pPr>
        <w:pStyle w:val="Heading1"/>
      </w:pPr>
      <w:r>
        <w:t>Documentos relacionados</w:t>
      </w:r>
    </w:p>
    <w:p>
      <w:r>
        <w:t>CC-CP-01 | CC-CP-02 | CC-CP-16 | CC-MT-01 | CC-MT-02 | CC-RG-04 | CC-RG-05 | CC-PR-02</w:t>
      </w:r>
    </w:p>
    <w:p>
      <w:pPr>
        <w:pStyle w:val="Heading1"/>
      </w:pPr>
      <w:r>
        <w:t>Historial de cambios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43"/>
        <w:gridCol w:w="4270"/>
        <w:gridCol w:w="3253"/>
      </w:tblGrid>
      <w:tr>
        <w:trPr>
          <w:tblHeader w:val="true"/>
          <w:cantSplit/>
        </w:trPr>
        <w:tc>
          <w:tcPr>
            <w:tcW w:type="dxa" w:w="2643"/>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Revisión</w:t>
            </w:r>
          </w:p>
        </w:tc>
        <w:tc>
          <w:tcPr>
            <w:tcW w:type="dxa" w:w="4270"/>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Fecha</w:t>
            </w:r>
          </w:p>
        </w:tc>
        <w:tc>
          <w:tcPr>
            <w:tcW w:type="dxa" w:w="3253"/>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Cambio registrado</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01</w:t>
            </w:r>
          </w:p>
        </w:tc>
        <w:tc>
          <w:tcPr>
            <w:tcW w:type="dxa" w:w="4270"/>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2025-12-15</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Emisión y revisión del expediente del periodo.</w:t>
            </w:r>
          </w:p>
        </w:tc>
      </w:tr>
    </w:tbl>
    <w:p>
      <w:pPr>
        <w:spacing w:after="20" w:before="0" w:line="240" w:lineRule="auto"/>
      </w:pPr>
      <w:r>
        <w:rPr>
          <w:sz w:val="4"/>
        </w:rPr>
      </w:r>
    </w:p>
    <w:p>
      <w:r>
        <w:br w:type="page"/>
      </w:r>
    </w:p>
    <w:p>
      <w:pPr>
        <w:pStyle w:val="Title"/>
      </w:pPr>
      <w:r>
        <w:t>Listado maestro de documentos y registros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0"/>
        <w:gridCol w:w="2847"/>
        <w:gridCol w:w="2440"/>
        <w:gridCol w:w="2440"/>
      </w:tblGrid>
      <w:tr>
        <w:trPr>
          <w:tblHeader w:val="true"/>
          <w:cantSplit/>
        </w:trPr>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Código</w:t>
            </w:r>
          </w:p>
        </w:tc>
        <w:tc>
          <w:tcPr>
            <w:tcW w:type="dxa" w:w="2847"/>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Revisión</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Emisión</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Estado</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CC-LM-01</w:t>
            </w:r>
          </w:p>
        </w:tc>
        <w:tc>
          <w:tcPr>
            <w:tcW w:type="dxa" w:w="284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01</w:t>
            </w:r>
          </w:p>
        </w:tc>
        <w:tc>
          <w:tcPr>
            <w:tcW w:type="dxa" w:w="2440"/>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2025-12-31</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Vigente</w:t>
            </w:r>
          </w:p>
        </w:tc>
      </w:tr>
    </w:tbl>
    <w:p>
      <w:pPr>
        <w:spacing w:after="20" w:before="0" w:line="240" w:lineRule="auto"/>
      </w:pPr>
      <w:r>
        <w:rPr>
          <w:sz w:val="4"/>
        </w:rPr>
      </w:r>
    </w:p>
    <w:p>
      <w:pPr>
        <w:spacing w:after="60"/>
      </w:pPr>
      <w:r>
        <w:rPr>
          <w:b/>
        </w:rPr>
        <w:t xml:space="preserve">Tipo y área: </w:t>
      </w:r>
      <w:r>
        <w:t>Listado maestro | Calidad y posventa</w:t>
      </w:r>
    </w:p>
    <w:p>
      <w:pPr>
        <w:spacing w:after="60"/>
      </w:pPr>
      <w:r>
        <w:rPr>
          <w:b/>
        </w:rPr>
        <w:t xml:space="preserve">Responsable: </w:t>
      </w:r>
      <w:r>
        <w:t>Ricardo Muñoz</w:t>
      </w:r>
    </w:p>
    <w:p>
      <w:pPr>
        <w:spacing w:after="60"/>
      </w:pPr>
      <w:r>
        <w:rPr>
          <w:b/>
        </w:rPr>
        <w:t xml:space="preserve">Aprobación interna: </w:t>
      </w:r>
      <w:r>
        <w:t>Valentina Ríos</w:t>
      </w:r>
    </w:p>
    <w:p>
      <w:pPr>
        <w:spacing w:before="100"/>
      </w:pPr>
      <w:r>
        <w:t>Identifica las revisiones de referencia del expediente al 31 de diciembre de 2025. El estado de un registro describe su trámite; no sustituye la revisión de su formato ni la vigencia de un procedimiento.</w:t>
      </w:r>
    </w:p>
    <w:p>
      <w:r>
        <w:rPr>
          <w:sz w:val="18"/>
        </w:rPr>
        <w:t>Referencia temática ISO 9001:2015: 4.4, 5.3, 7.5.</w:t>
      </w:r>
    </w:p>
    <w:p>
      <w:pPr>
        <w:pStyle w:val="Heading1"/>
      </w:pPr>
      <w:r>
        <w:t>Criterio de control</w:t>
      </w:r>
    </w:p>
    <w:p>
      <w:r>
        <w:t>La clave de un documento es su código más la revisión. El nombre de archivo ayuda a localizarlo y no decide su vigencia. Las copias PDF y Word representan el mismo contenido lógico. Una revisión obsoleta se conserva para consulta histórica y no reemplaza a la revisión indicada aquí.</w:t>
      </w:r>
    </w:p>
    <w:p>
      <w:r>
        <w:t>Las fechas de emisión pertenecen a cada documento; el corte del listado es posterior. Los registros cerrados siguen siendo evidencia del caso y los registros con seguimiento abierto conservan sus pendientes. Los formatos vacíos son plantillas vigentes y no evidencian una actividad ejecutada.</w:t>
      </w:r>
    </w:p>
    <w:p>
      <w:pPr>
        <w:pStyle w:val="Heading1"/>
      </w:pPr>
      <w:r>
        <w:t>Documentos controlados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30"/>
        <w:gridCol w:w="4778"/>
        <w:gridCol w:w="1627"/>
        <w:gridCol w:w="1932"/>
      </w:tblGrid>
      <w:tr>
        <w:trPr>
          <w:tblHeader w:val="true"/>
          <w:cantSplit/>
        </w:trPr>
        <w:tc>
          <w:tcPr>
            <w:tcW w:type="dxa" w:w="183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Código y revisión</w:t>
            </w:r>
          </w:p>
        </w:tc>
        <w:tc>
          <w:tcPr>
            <w:tcW w:type="dxa" w:w="4778"/>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Título</w:t>
            </w:r>
          </w:p>
        </w:tc>
        <w:tc>
          <w:tcPr>
            <w:tcW w:type="dxa" w:w="1627"/>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Emisión</w:t>
            </w:r>
          </w:p>
        </w:tc>
        <w:tc>
          <w:tcPr>
            <w:tcW w:type="dxa" w:w="1932"/>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Estado</w:t>
            </w:r>
          </w:p>
        </w:tc>
      </w:tr>
      <w:tr>
        <w:trPr>
          <w:cantSplit/>
        </w:trPr>
        <w:tc>
          <w:tcPr>
            <w:tcW w:type="dxa" w:w="1830"/>
            <w:vAlign w:val="center"/>
            <w:tcMar>
              <w:top w:w="75" w:type="dxa"/>
              <w:bottom w:w="75" w:type="dxa"/>
              <w:left w:w="90" w:type="dxa"/>
              <w:right w:w="90" w:type="dxa"/>
            </w:tcMar>
          </w:tcPr>
          <w:p>
            <w:pPr>
              <w:keepNext w:val="0"/>
              <w:widowControl/>
              <w:spacing w:before="0" w:after="20" w:line="240" w:lineRule="auto"/>
            </w:pPr>
            <w:r>
              <w:rPr>
                <w:b w:val="0"/>
                <w:color w:val="000000"/>
                <w:sz w:val="18"/>
              </w:rPr>
              <w:t>CC-MC-01 / 04</w:t>
            </w:r>
          </w:p>
        </w:tc>
        <w:tc>
          <w:tcPr>
            <w:tcW w:type="dxa" w:w="4778"/>
            <w:vAlign w:val="center"/>
            <w:tcMar>
              <w:top w:w="75" w:type="dxa"/>
              <w:bottom w:w="75" w:type="dxa"/>
              <w:left w:w="90" w:type="dxa"/>
              <w:right w:w="90" w:type="dxa"/>
            </w:tcMar>
          </w:tcPr>
          <w:p>
            <w:pPr>
              <w:keepNext w:val="0"/>
              <w:widowControl/>
              <w:spacing w:before="0" w:after="20" w:line="240" w:lineRule="auto"/>
            </w:pPr>
            <w:r>
              <w:rPr>
                <w:b w:val="0"/>
                <w:color w:val="000000"/>
                <w:sz w:val="18"/>
              </w:rPr>
              <w:t>Manual del sistema de gestión de la calidad</w:t>
            </w:r>
          </w:p>
        </w:tc>
        <w:tc>
          <w:tcPr>
            <w:tcW w:type="dxa" w:w="162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2025-07-01</w:t>
            </w:r>
          </w:p>
        </w:tc>
        <w:tc>
          <w:tcPr>
            <w:tcW w:type="dxa" w:w="1932"/>
            <w:vAlign w:val="center"/>
            <w:tcMar>
              <w:top w:w="75" w:type="dxa"/>
              <w:bottom w:w="75" w:type="dxa"/>
              <w:left w:w="90" w:type="dxa"/>
              <w:right w:w="90" w:type="dxa"/>
            </w:tcMar>
          </w:tcPr>
          <w:p>
            <w:pPr>
              <w:keepNext w:val="0"/>
              <w:widowControl/>
              <w:spacing w:before="0" w:after="20" w:line="240" w:lineRule="auto"/>
            </w:pPr>
            <w:r>
              <w:rPr>
                <w:b w:val="0"/>
                <w:color w:val="000000"/>
                <w:sz w:val="18"/>
              </w:rPr>
              <w:t>Vigente</w:t>
            </w:r>
          </w:p>
        </w:tc>
      </w:tr>
      <w:tr>
        <w:trPr>
          <w:cantSplit/>
        </w:trPr>
        <w:tc>
          <w:tcPr>
            <w:tcW w:type="dxa" w:w="1830"/>
            <w:vAlign w:val="center"/>
            <w:tcMar>
              <w:top w:w="75" w:type="dxa"/>
              <w:bottom w:w="75" w:type="dxa"/>
              <w:left w:w="90" w:type="dxa"/>
              <w:right w:w="90" w:type="dxa"/>
            </w:tcMar>
          </w:tcPr>
          <w:p>
            <w:pPr>
              <w:keepNext w:val="0"/>
              <w:widowControl/>
              <w:spacing w:before="0" w:after="20" w:line="240" w:lineRule="auto"/>
            </w:pPr>
            <w:r>
              <w:rPr>
                <w:b w:val="0"/>
                <w:color w:val="000000"/>
                <w:sz w:val="18"/>
              </w:rPr>
              <w:t>CC-MT-01 / 03</w:t>
            </w:r>
          </w:p>
        </w:tc>
        <w:tc>
          <w:tcPr>
            <w:tcW w:type="dxa" w:w="4778"/>
            <w:vAlign w:val="center"/>
            <w:tcMar>
              <w:top w:w="75" w:type="dxa"/>
              <w:bottom w:w="75" w:type="dxa"/>
              <w:left w:w="90" w:type="dxa"/>
              <w:right w:w="90" w:type="dxa"/>
            </w:tcMar>
          </w:tcPr>
          <w:p>
            <w:pPr>
              <w:keepNext w:val="0"/>
              <w:widowControl/>
              <w:spacing w:before="0" w:after="20" w:line="240" w:lineRule="auto"/>
            </w:pPr>
            <w:r>
              <w:rPr>
                <w:b w:val="0"/>
                <w:color w:val="000000"/>
                <w:sz w:val="18"/>
              </w:rPr>
              <w:t>Contexto partes interesadas riesgos y oportunidades</w:t>
            </w:r>
          </w:p>
        </w:tc>
        <w:tc>
          <w:tcPr>
            <w:tcW w:type="dxa" w:w="162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2025-12-31</w:t>
            </w:r>
          </w:p>
        </w:tc>
        <w:tc>
          <w:tcPr>
            <w:tcW w:type="dxa" w:w="1932"/>
            <w:vAlign w:val="center"/>
            <w:tcMar>
              <w:top w:w="75" w:type="dxa"/>
              <w:bottom w:w="75" w:type="dxa"/>
              <w:left w:w="90" w:type="dxa"/>
              <w:right w:w="90" w:type="dxa"/>
            </w:tcMar>
          </w:tcPr>
          <w:p>
            <w:pPr>
              <w:keepNext w:val="0"/>
              <w:widowControl/>
              <w:spacing w:before="0" w:after="20" w:line="240" w:lineRule="auto"/>
            </w:pPr>
            <w:r>
              <w:rPr>
                <w:b w:val="0"/>
                <w:color w:val="000000"/>
                <w:sz w:val="18"/>
              </w:rPr>
              <w:t>Vigente</w:t>
            </w:r>
          </w:p>
        </w:tc>
      </w:tr>
      <w:tr>
        <w:trPr>
          <w:cantSplit/>
        </w:trPr>
        <w:tc>
          <w:tcPr>
            <w:tcW w:type="dxa" w:w="1830"/>
            <w:vAlign w:val="center"/>
            <w:tcMar>
              <w:top w:w="75" w:type="dxa"/>
              <w:bottom w:w="75" w:type="dxa"/>
              <w:left w:w="90" w:type="dxa"/>
              <w:right w:w="90" w:type="dxa"/>
            </w:tcMar>
          </w:tcPr>
          <w:p>
            <w:pPr>
              <w:keepNext w:val="0"/>
              <w:widowControl/>
              <w:spacing w:before="0" w:after="20" w:line="240" w:lineRule="auto"/>
            </w:pPr>
            <w:r>
              <w:rPr>
                <w:b w:val="0"/>
                <w:color w:val="000000"/>
                <w:sz w:val="18"/>
              </w:rPr>
              <w:t>CC-MT-02 / 02</w:t>
            </w:r>
          </w:p>
        </w:tc>
        <w:tc>
          <w:tcPr>
            <w:tcW w:type="dxa" w:w="4778"/>
            <w:vAlign w:val="center"/>
            <w:tcMar>
              <w:top w:w="75" w:type="dxa"/>
              <w:bottom w:w="75" w:type="dxa"/>
              <w:left w:w="90" w:type="dxa"/>
              <w:right w:w="90" w:type="dxa"/>
            </w:tcMar>
          </w:tcPr>
          <w:p>
            <w:pPr>
              <w:keepNext w:val="0"/>
              <w:widowControl/>
              <w:spacing w:before="0" w:after="20" w:line="240" w:lineRule="auto"/>
            </w:pPr>
            <w:r>
              <w:rPr>
                <w:b w:val="0"/>
                <w:color w:val="000000"/>
                <w:sz w:val="18"/>
              </w:rPr>
              <w:t>Objetivos e indicadores de calidad</w:t>
            </w:r>
          </w:p>
        </w:tc>
        <w:tc>
          <w:tcPr>
            <w:tcW w:type="dxa" w:w="162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2025-12-31</w:t>
            </w:r>
          </w:p>
        </w:tc>
        <w:tc>
          <w:tcPr>
            <w:tcW w:type="dxa" w:w="1932"/>
            <w:vAlign w:val="center"/>
            <w:tcMar>
              <w:top w:w="75" w:type="dxa"/>
              <w:bottom w:w="75" w:type="dxa"/>
              <w:left w:w="90" w:type="dxa"/>
              <w:right w:w="90" w:type="dxa"/>
            </w:tcMar>
          </w:tcPr>
          <w:p>
            <w:pPr>
              <w:keepNext w:val="0"/>
              <w:widowControl/>
              <w:spacing w:before="0" w:after="20" w:line="240" w:lineRule="auto"/>
            </w:pPr>
            <w:r>
              <w:rPr>
                <w:b w:val="0"/>
                <w:color w:val="000000"/>
                <w:sz w:val="18"/>
              </w:rPr>
              <w:t>Vigente</w:t>
            </w:r>
          </w:p>
        </w:tc>
      </w:tr>
      <w:tr>
        <w:trPr>
          <w:cantSplit/>
        </w:trPr>
        <w:tc>
          <w:tcPr>
            <w:tcW w:type="dxa" w:w="1830"/>
            <w:vAlign w:val="center"/>
            <w:tcMar>
              <w:top w:w="75" w:type="dxa"/>
              <w:bottom w:w="75" w:type="dxa"/>
              <w:left w:w="90" w:type="dxa"/>
              <w:right w:w="90" w:type="dxa"/>
            </w:tcMar>
          </w:tcPr>
          <w:p>
            <w:pPr>
              <w:keepNext w:val="0"/>
              <w:widowControl/>
              <w:spacing w:before="0" w:after="20" w:line="240" w:lineRule="auto"/>
            </w:pPr>
            <w:r>
              <w:rPr>
                <w:b w:val="0"/>
                <w:color w:val="000000"/>
                <w:sz w:val="18"/>
              </w:rPr>
              <w:t>CC-AN-01 / 01</w:t>
            </w:r>
          </w:p>
        </w:tc>
        <w:tc>
          <w:tcPr>
            <w:tcW w:type="dxa" w:w="4778"/>
            <w:vAlign w:val="center"/>
            <w:tcMar>
              <w:top w:w="75" w:type="dxa"/>
              <w:bottom w:w="75" w:type="dxa"/>
              <w:left w:w="90" w:type="dxa"/>
              <w:right w:w="90" w:type="dxa"/>
            </w:tcMar>
          </w:tcPr>
          <w:p>
            <w:pPr>
              <w:keepNext w:val="0"/>
              <w:widowControl/>
              <w:spacing w:before="0" w:after="20" w:line="240" w:lineRule="auto"/>
            </w:pPr>
            <w:r>
              <w:rPr>
                <w:b w:val="0"/>
                <w:color w:val="000000"/>
                <w:sz w:val="18"/>
              </w:rPr>
              <w:t>Organización sedes y personal de referencia</w:t>
            </w:r>
          </w:p>
        </w:tc>
        <w:tc>
          <w:tcPr>
            <w:tcW w:type="dxa" w:w="162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2025-12-31</w:t>
            </w:r>
          </w:p>
        </w:tc>
        <w:tc>
          <w:tcPr>
            <w:tcW w:type="dxa" w:w="1932"/>
            <w:vAlign w:val="center"/>
            <w:tcMar>
              <w:top w:w="75" w:type="dxa"/>
              <w:bottom w:w="75" w:type="dxa"/>
              <w:left w:w="90" w:type="dxa"/>
              <w:right w:w="90" w:type="dxa"/>
            </w:tcMar>
          </w:tcPr>
          <w:p>
            <w:pPr>
              <w:keepNext w:val="0"/>
              <w:widowControl/>
              <w:spacing w:before="0" w:after="20" w:line="240" w:lineRule="auto"/>
            </w:pPr>
            <w:r>
              <w:rPr>
                <w:b w:val="0"/>
                <w:color w:val="000000"/>
                <w:sz w:val="18"/>
              </w:rPr>
              <w:t>Vigente</w:t>
            </w:r>
          </w:p>
        </w:tc>
      </w:tr>
      <w:tr>
        <w:trPr>
          <w:cantSplit/>
        </w:trPr>
        <w:tc>
          <w:tcPr>
            <w:tcW w:type="dxa" w:w="1830"/>
            <w:vAlign w:val="center"/>
            <w:tcMar>
              <w:top w:w="75" w:type="dxa"/>
              <w:bottom w:w="75" w:type="dxa"/>
              <w:left w:w="90" w:type="dxa"/>
              <w:right w:w="90" w:type="dxa"/>
            </w:tcMar>
          </w:tcPr>
          <w:p>
            <w:pPr>
              <w:keepNext w:val="0"/>
              <w:widowControl/>
              <w:spacing w:before="0" w:after="20" w:line="240" w:lineRule="auto"/>
            </w:pPr>
            <w:r>
              <w:rPr>
                <w:b w:val="0"/>
                <w:color w:val="000000"/>
                <w:sz w:val="18"/>
              </w:rPr>
              <w:t>CC-CP-01 / 04</w:t>
            </w:r>
          </w:p>
        </w:tc>
        <w:tc>
          <w:tcPr>
            <w:tcW w:type="dxa" w:w="4778"/>
            <w:vAlign w:val="center"/>
            <w:tcMar>
              <w:top w:w="75" w:type="dxa"/>
              <w:bottom w:w="75" w:type="dxa"/>
              <w:left w:w="90" w:type="dxa"/>
              <w:right w:w="90" w:type="dxa"/>
            </w:tcMar>
          </w:tcPr>
          <w:p>
            <w:pPr>
              <w:keepNext w:val="0"/>
              <w:widowControl/>
              <w:spacing w:before="0" w:after="20" w:line="240" w:lineRule="auto"/>
            </w:pPr>
            <w:r>
              <w:rPr>
                <w:b w:val="0"/>
                <w:color w:val="000000"/>
                <w:sz w:val="18"/>
              </w:rPr>
              <w:t>Dirección y gestión del sistema de calidad</w:t>
            </w:r>
          </w:p>
        </w:tc>
        <w:tc>
          <w:tcPr>
            <w:tcW w:type="dxa" w:w="162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2025-10-06</w:t>
            </w:r>
          </w:p>
        </w:tc>
        <w:tc>
          <w:tcPr>
            <w:tcW w:type="dxa" w:w="1932"/>
            <w:vAlign w:val="center"/>
            <w:tcMar>
              <w:top w:w="75" w:type="dxa"/>
              <w:bottom w:w="75" w:type="dxa"/>
              <w:left w:w="90" w:type="dxa"/>
              <w:right w:w="90" w:type="dxa"/>
            </w:tcMar>
          </w:tcPr>
          <w:p>
            <w:pPr>
              <w:keepNext w:val="0"/>
              <w:widowControl/>
              <w:spacing w:before="0" w:after="20" w:line="240" w:lineRule="auto"/>
            </w:pPr>
            <w:r>
              <w:rPr>
                <w:b w:val="0"/>
                <w:color w:val="000000"/>
                <w:sz w:val="18"/>
              </w:rPr>
              <w:t>Vigente</w:t>
            </w:r>
          </w:p>
        </w:tc>
      </w:tr>
      <w:tr>
        <w:trPr>
          <w:cantSplit/>
        </w:trPr>
        <w:tc>
          <w:tcPr>
            <w:tcW w:type="dxa" w:w="1830"/>
            <w:vAlign w:val="center"/>
            <w:tcMar>
              <w:top w:w="75" w:type="dxa"/>
              <w:bottom w:w="75" w:type="dxa"/>
              <w:left w:w="90" w:type="dxa"/>
              <w:right w:w="90" w:type="dxa"/>
            </w:tcMar>
          </w:tcPr>
          <w:p>
            <w:pPr>
              <w:keepNext w:val="0"/>
              <w:widowControl/>
              <w:spacing w:before="0" w:after="20" w:line="240" w:lineRule="auto"/>
            </w:pPr>
            <w:r>
              <w:rPr>
                <w:b w:val="0"/>
                <w:color w:val="000000"/>
                <w:sz w:val="18"/>
              </w:rPr>
              <w:t>CC-CP-02 / 03</w:t>
            </w:r>
          </w:p>
        </w:tc>
        <w:tc>
          <w:tcPr>
            <w:tcW w:type="dxa" w:w="4778"/>
            <w:vAlign w:val="center"/>
            <w:tcMar>
              <w:top w:w="75" w:type="dxa"/>
              <w:bottom w:w="75" w:type="dxa"/>
              <w:left w:w="90" w:type="dxa"/>
              <w:right w:w="90" w:type="dxa"/>
            </w:tcMar>
          </w:tcPr>
          <w:p>
            <w:pPr>
              <w:keepNext w:val="0"/>
              <w:widowControl/>
              <w:spacing w:before="0" w:after="20" w:line="240" w:lineRule="auto"/>
            </w:pPr>
            <w:r>
              <w:rPr>
                <w:b w:val="0"/>
                <w:color w:val="000000"/>
                <w:sz w:val="18"/>
              </w:rPr>
              <w:t>Gestión financiera facturación y cartera</w:t>
            </w:r>
          </w:p>
        </w:tc>
        <w:tc>
          <w:tcPr>
            <w:tcW w:type="dxa" w:w="162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2025-07-14</w:t>
            </w:r>
          </w:p>
        </w:tc>
        <w:tc>
          <w:tcPr>
            <w:tcW w:type="dxa" w:w="1932"/>
            <w:vAlign w:val="center"/>
            <w:tcMar>
              <w:top w:w="75" w:type="dxa"/>
              <w:bottom w:w="75" w:type="dxa"/>
              <w:left w:w="90" w:type="dxa"/>
              <w:right w:w="90" w:type="dxa"/>
            </w:tcMar>
          </w:tcPr>
          <w:p>
            <w:pPr>
              <w:keepNext w:val="0"/>
              <w:widowControl/>
              <w:spacing w:before="0" w:after="20" w:line="240" w:lineRule="auto"/>
            </w:pPr>
            <w:r>
              <w:rPr>
                <w:b w:val="0"/>
                <w:color w:val="000000"/>
                <w:sz w:val="18"/>
              </w:rPr>
              <w:t>Vigente</w:t>
            </w:r>
          </w:p>
        </w:tc>
      </w:tr>
      <w:tr>
        <w:trPr>
          <w:cantSplit/>
        </w:trPr>
        <w:tc>
          <w:tcPr>
            <w:tcW w:type="dxa" w:w="1830"/>
            <w:vAlign w:val="center"/>
            <w:tcMar>
              <w:top w:w="75" w:type="dxa"/>
              <w:bottom w:w="75" w:type="dxa"/>
              <w:left w:w="90" w:type="dxa"/>
              <w:right w:w="90" w:type="dxa"/>
            </w:tcMar>
          </w:tcPr>
          <w:p>
            <w:pPr>
              <w:keepNext w:val="0"/>
              <w:widowControl/>
              <w:spacing w:before="0" w:after="20" w:line="240" w:lineRule="auto"/>
            </w:pPr>
            <w:r>
              <w:rPr>
                <w:b w:val="0"/>
                <w:color w:val="000000"/>
                <w:sz w:val="18"/>
              </w:rPr>
              <w:t>CC-CP-03 / 05</w:t>
            </w:r>
          </w:p>
        </w:tc>
        <w:tc>
          <w:tcPr>
            <w:tcW w:type="dxa" w:w="4778"/>
            <w:vAlign w:val="center"/>
            <w:tcMar>
              <w:top w:w="75" w:type="dxa"/>
              <w:bottom w:w="75" w:type="dxa"/>
              <w:left w:w="90" w:type="dxa"/>
              <w:right w:w="90" w:type="dxa"/>
            </w:tcMar>
          </w:tcPr>
          <w:p>
            <w:pPr>
              <w:keepNext w:val="0"/>
              <w:widowControl/>
              <w:spacing w:before="0" w:after="20" w:line="240" w:lineRule="auto"/>
            </w:pPr>
            <w:r>
              <w:rPr>
                <w:b w:val="0"/>
                <w:color w:val="000000"/>
                <w:sz w:val="18"/>
              </w:rPr>
              <w:t>Gestión de personas competencia y conocimiento</w:t>
            </w:r>
          </w:p>
        </w:tc>
        <w:tc>
          <w:tcPr>
            <w:tcW w:type="dxa" w:w="162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2025-09-15</w:t>
            </w:r>
          </w:p>
        </w:tc>
        <w:tc>
          <w:tcPr>
            <w:tcW w:type="dxa" w:w="1932"/>
            <w:vAlign w:val="center"/>
            <w:tcMar>
              <w:top w:w="75" w:type="dxa"/>
              <w:bottom w:w="75" w:type="dxa"/>
              <w:left w:w="90" w:type="dxa"/>
              <w:right w:w="90" w:type="dxa"/>
            </w:tcMar>
          </w:tcPr>
          <w:p>
            <w:pPr>
              <w:keepNext w:val="0"/>
              <w:widowControl/>
              <w:spacing w:before="0" w:after="20" w:line="240" w:lineRule="auto"/>
            </w:pPr>
            <w:r>
              <w:rPr>
                <w:b w:val="0"/>
                <w:color w:val="000000"/>
                <w:sz w:val="18"/>
              </w:rPr>
              <w:t>Vigente</w:t>
            </w:r>
          </w:p>
        </w:tc>
      </w:tr>
      <w:tr>
        <w:trPr>
          <w:cantSplit/>
        </w:trPr>
        <w:tc>
          <w:tcPr>
            <w:tcW w:type="dxa" w:w="1830"/>
            <w:vAlign w:val="center"/>
            <w:tcMar>
              <w:top w:w="75" w:type="dxa"/>
              <w:bottom w:w="75" w:type="dxa"/>
              <w:left w:w="90" w:type="dxa"/>
              <w:right w:w="90" w:type="dxa"/>
            </w:tcMar>
          </w:tcPr>
          <w:p>
            <w:pPr>
              <w:keepNext w:val="0"/>
              <w:widowControl/>
              <w:spacing w:before="0" w:after="20" w:line="240" w:lineRule="auto"/>
            </w:pPr>
            <w:r>
              <w:rPr>
                <w:b w:val="0"/>
                <w:color w:val="000000"/>
                <w:sz w:val="18"/>
              </w:rPr>
              <w:t>CC-CP-04 / 03</w:t>
            </w:r>
          </w:p>
        </w:tc>
        <w:tc>
          <w:tcPr>
            <w:tcW w:type="dxa" w:w="4778"/>
            <w:vAlign w:val="center"/>
            <w:tcMar>
              <w:top w:w="75" w:type="dxa"/>
              <w:bottom w:w="75" w:type="dxa"/>
              <w:left w:w="90" w:type="dxa"/>
              <w:right w:w="90" w:type="dxa"/>
            </w:tcMar>
          </w:tcPr>
          <w:p>
            <w:pPr>
              <w:keepNext w:val="0"/>
              <w:widowControl/>
              <w:spacing w:before="0" w:after="20" w:line="240" w:lineRule="auto"/>
            </w:pPr>
            <w:r>
              <w:rPr>
                <w:b w:val="0"/>
                <w:color w:val="000000"/>
                <w:sz w:val="18"/>
              </w:rPr>
              <w:t>Consultoría para proyectos de cafeterías</w:t>
            </w:r>
          </w:p>
        </w:tc>
        <w:tc>
          <w:tcPr>
            <w:tcW w:type="dxa" w:w="162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2025-05-12</w:t>
            </w:r>
          </w:p>
        </w:tc>
        <w:tc>
          <w:tcPr>
            <w:tcW w:type="dxa" w:w="1932"/>
            <w:vAlign w:val="center"/>
            <w:tcMar>
              <w:top w:w="75" w:type="dxa"/>
              <w:bottom w:w="75" w:type="dxa"/>
              <w:left w:w="90" w:type="dxa"/>
              <w:right w:w="90" w:type="dxa"/>
            </w:tcMar>
          </w:tcPr>
          <w:p>
            <w:pPr>
              <w:keepNext w:val="0"/>
              <w:widowControl/>
              <w:spacing w:before="0" w:after="20" w:line="240" w:lineRule="auto"/>
            </w:pPr>
            <w:r>
              <w:rPr>
                <w:b w:val="0"/>
                <w:color w:val="000000"/>
                <w:sz w:val="18"/>
              </w:rPr>
              <w:t>Vigente</w:t>
            </w:r>
          </w:p>
        </w:tc>
      </w:tr>
      <w:tr>
        <w:trPr>
          <w:cantSplit/>
        </w:trPr>
        <w:tc>
          <w:tcPr>
            <w:tcW w:type="dxa" w:w="1830"/>
            <w:vAlign w:val="center"/>
            <w:tcMar>
              <w:top w:w="75" w:type="dxa"/>
              <w:bottom w:w="75" w:type="dxa"/>
              <w:left w:w="90" w:type="dxa"/>
              <w:right w:w="90" w:type="dxa"/>
            </w:tcMar>
          </w:tcPr>
          <w:p>
            <w:pPr>
              <w:keepNext w:val="0"/>
              <w:widowControl/>
              <w:spacing w:before="0" w:after="20" w:line="240" w:lineRule="auto"/>
            </w:pPr>
            <w:r>
              <w:rPr>
                <w:b w:val="0"/>
                <w:color w:val="000000"/>
                <w:sz w:val="18"/>
              </w:rPr>
              <w:t>CC-CP-05 / 04</w:t>
            </w:r>
          </w:p>
        </w:tc>
        <w:tc>
          <w:tcPr>
            <w:tcW w:type="dxa" w:w="4778"/>
            <w:vAlign w:val="center"/>
            <w:tcMar>
              <w:top w:w="75" w:type="dxa"/>
              <w:bottom w:w="75" w:type="dxa"/>
              <w:left w:w="90" w:type="dxa"/>
              <w:right w:w="90" w:type="dxa"/>
            </w:tcMar>
          </w:tcPr>
          <w:p>
            <w:pPr>
              <w:keepNext w:val="0"/>
              <w:widowControl/>
              <w:spacing w:before="0" w:after="20" w:line="240" w:lineRule="auto"/>
            </w:pPr>
            <w:r>
              <w:rPr>
                <w:b w:val="0"/>
                <w:color w:val="000000"/>
                <w:sz w:val="18"/>
              </w:rPr>
              <w:t>Venta en tiendas y atención comercial B2C</w:t>
            </w:r>
          </w:p>
        </w:tc>
        <w:tc>
          <w:tcPr>
            <w:tcW w:type="dxa" w:w="162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2025-06-03</w:t>
            </w:r>
          </w:p>
        </w:tc>
        <w:tc>
          <w:tcPr>
            <w:tcW w:type="dxa" w:w="1932"/>
            <w:vAlign w:val="center"/>
            <w:tcMar>
              <w:top w:w="75" w:type="dxa"/>
              <w:bottom w:w="75" w:type="dxa"/>
              <w:left w:w="90" w:type="dxa"/>
              <w:right w:w="90" w:type="dxa"/>
            </w:tcMar>
          </w:tcPr>
          <w:p>
            <w:pPr>
              <w:keepNext w:val="0"/>
              <w:widowControl/>
              <w:spacing w:before="0" w:after="20" w:line="240" w:lineRule="auto"/>
            </w:pPr>
            <w:r>
              <w:rPr>
                <w:b w:val="0"/>
                <w:color w:val="000000"/>
                <w:sz w:val="18"/>
              </w:rPr>
              <w:t>Vigente</w:t>
            </w:r>
          </w:p>
        </w:tc>
      </w:tr>
      <w:tr>
        <w:trPr>
          <w:cantSplit/>
        </w:trPr>
        <w:tc>
          <w:tcPr>
            <w:tcW w:type="dxa" w:w="1830"/>
            <w:vAlign w:val="center"/>
            <w:tcMar>
              <w:top w:w="75" w:type="dxa"/>
              <w:bottom w:w="75" w:type="dxa"/>
              <w:left w:w="90" w:type="dxa"/>
              <w:right w:w="90" w:type="dxa"/>
            </w:tcMar>
          </w:tcPr>
          <w:p>
            <w:pPr>
              <w:keepNext w:val="0"/>
              <w:widowControl/>
              <w:spacing w:before="0" w:after="20" w:line="240" w:lineRule="auto"/>
            </w:pPr>
            <w:r>
              <w:rPr>
                <w:b w:val="0"/>
                <w:color w:val="000000"/>
                <w:sz w:val="18"/>
              </w:rPr>
              <w:t>CC-CP-06 / 05</w:t>
            </w:r>
          </w:p>
        </w:tc>
        <w:tc>
          <w:tcPr>
            <w:tcW w:type="dxa" w:w="4778"/>
            <w:vAlign w:val="center"/>
            <w:tcMar>
              <w:top w:w="75" w:type="dxa"/>
              <w:bottom w:w="75" w:type="dxa"/>
              <w:left w:w="90" w:type="dxa"/>
              <w:right w:w="90" w:type="dxa"/>
            </w:tcMar>
          </w:tcPr>
          <w:p>
            <w:pPr>
              <w:keepNext w:val="0"/>
              <w:widowControl/>
              <w:spacing w:before="0" w:after="20" w:line="240" w:lineRule="auto"/>
            </w:pPr>
            <w:r>
              <w:rPr>
                <w:b w:val="0"/>
                <w:color w:val="000000"/>
                <w:sz w:val="18"/>
              </w:rPr>
              <w:t>Venta consultiva y contratación B2B</w:t>
            </w:r>
          </w:p>
        </w:tc>
        <w:tc>
          <w:tcPr>
            <w:tcW w:type="dxa" w:w="162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2025-04-22</w:t>
            </w:r>
          </w:p>
        </w:tc>
        <w:tc>
          <w:tcPr>
            <w:tcW w:type="dxa" w:w="1932"/>
            <w:vAlign w:val="center"/>
            <w:tcMar>
              <w:top w:w="75" w:type="dxa"/>
              <w:bottom w:w="75" w:type="dxa"/>
              <w:left w:w="90" w:type="dxa"/>
              <w:right w:w="90" w:type="dxa"/>
            </w:tcMar>
          </w:tcPr>
          <w:p>
            <w:pPr>
              <w:keepNext w:val="0"/>
              <w:widowControl/>
              <w:spacing w:before="0" w:after="20" w:line="240" w:lineRule="auto"/>
            </w:pPr>
            <w:r>
              <w:rPr>
                <w:b w:val="0"/>
                <w:color w:val="000000"/>
                <w:sz w:val="18"/>
              </w:rPr>
              <w:t>Vigente</w:t>
            </w:r>
          </w:p>
        </w:tc>
      </w:tr>
      <w:tr>
        <w:trPr>
          <w:cantSplit/>
        </w:trPr>
        <w:tc>
          <w:tcPr>
            <w:tcW w:type="dxa" w:w="1830"/>
            <w:vAlign w:val="center"/>
            <w:tcMar>
              <w:top w:w="75" w:type="dxa"/>
              <w:bottom w:w="75" w:type="dxa"/>
              <w:left w:w="90" w:type="dxa"/>
              <w:right w:w="90" w:type="dxa"/>
            </w:tcMar>
          </w:tcPr>
          <w:p>
            <w:pPr>
              <w:keepNext w:val="0"/>
              <w:widowControl/>
              <w:spacing w:before="0" w:after="20" w:line="240" w:lineRule="auto"/>
            </w:pPr>
            <w:r>
              <w:rPr>
                <w:b w:val="0"/>
                <w:color w:val="000000"/>
                <w:sz w:val="18"/>
              </w:rPr>
              <w:t>CC-CP-07 / 02</w:t>
            </w:r>
          </w:p>
        </w:tc>
        <w:tc>
          <w:tcPr>
            <w:tcW w:type="dxa" w:w="4778"/>
            <w:vAlign w:val="center"/>
            <w:tcMar>
              <w:top w:w="75" w:type="dxa"/>
              <w:bottom w:w="75" w:type="dxa"/>
              <w:left w:w="90" w:type="dxa"/>
              <w:right w:w="90" w:type="dxa"/>
            </w:tcMar>
          </w:tcPr>
          <w:p>
            <w:pPr>
              <w:keepNext w:val="0"/>
              <w:widowControl/>
              <w:spacing w:before="0" w:after="20" w:line="240" w:lineRule="auto"/>
            </w:pPr>
            <w:r>
              <w:rPr>
                <w:b w:val="0"/>
                <w:color w:val="000000"/>
                <w:sz w:val="18"/>
              </w:rPr>
              <w:t>Marketing y comunicación de la oferta</w:t>
            </w:r>
          </w:p>
        </w:tc>
        <w:tc>
          <w:tcPr>
            <w:tcW w:type="dxa" w:w="162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2025-03-17</w:t>
            </w:r>
          </w:p>
        </w:tc>
        <w:tc>
          <w:tcPr>
            <w:tcW w:type="dxa" w:w="1932"/>
            <w:vAlign w:val="center"/>
            <w:tcMar>
              <w:top w:w="75" w:type="dxa"/>
              <w:bottom w:w="75" w:type="dxa"/>
              <w:left w:w="90" w:type="dxa"/>
              <w:right w:w="90" w:type="dxa"/>
            </w:tcMar>
          </w:tcPr>
          <w:p>
            <w:pPr>
              <w:keepNext w:val="0"/>
              <w:widowControl/>
              <w:spacing w:before="0" w:after="20" w:line="240" w:lineRule="auto"/>
            </w:pPr>
            <w:r>
              <w:rPr>
                <w:b w:val="0"/>
                <w:color w:val="000000"/>
                <w:sz w:val="18"/>
              </w:rPr>
              <w:t>Vigente</w:t>
            </w:r>
          </w:p>
        </w:tc>
      </w:tr>
      <w:tr>
        <w:trPr>
          <w:cantSplit/>
        </w:trPr>
        <w:tc>
          <w:tcPr>
            <w:tcW w:type="dxa" w:w="1830"/>
            <w:vAlign w:val="center"/>
            <w:tcMar>
              <w:top w:w="75" w:type="dxa"/>
              <w:bottom w:w="75" w:type="dxa"/>
              <w:left w:w="90" w:type="dxa"/>
              <w:right w:w="90" w:type="dxa"/>
            </w:tcMar>
          </w:tcPr>
          <w:p>
            <w:pPr>
              <w:keepNext w:val="0"/>
              <w:widowControl/>
              <w:spacing w:before="0" w:after="20" w:line="240" w:lineRule="auto"/>
            </w:pPr>
            <w:r>
              <w:rPr>
                <w:b w:val="0"/>
                <w:color w:val="000000"/>
                <w:sz w:val="18"/>
              </w:rPr>
              <w:t>CC-CP-08 / 04</w:t>
            </w:r>
          </w:p>
        </w:tc>
        <w:tc>
          <w:tcPr>
            <w:tcW w:type="dxa" w:w="4778"/>
            <w:vAlign w:val="center"/>
            <w:tcMar>
              <w:top w:w="75" w:type="dxa"/>
              <w:bottom w:w="75" w:type="dxa"/>
              <w:left w:w="90" w:type="dxa"/>
              <w:right w:w="90" w:type="dxa"/>
            </w:tcMar>
          </w:tcPr>
          <w:p>
            <w:pPr>
              <w:keepNext w:val="0"/>
              <w:widowControl/>
              <w:spacing w:before="0" w:after="20" w:line="240" w:lineRule="auto"/>
            </w:pPr>
            <w:r>
              <w:rPr>
                <w:b w:val="0"/>
                <w:color w:val="000000"/>
                <w:sz w:val="18"/>
              </w:rPr>
              <w:t>Operación de comercio electrónico</w:t>
            </w:r>
          </w:p>
        </w:tc>
        <w:tc>
          <w:tcPr>
            <w:tcW w:type="dxa" w:w="162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2025-07-07</w:t>
            </w:r>
          </w:p>
        </w:tc>
        <w:tc>
          <w:tcPr>
            <w:tcW w:type="dxa" w:w="1932"/>
            <w:vAlign w:val="center"/>
            <w:tcMar>
              <w:top w:w="75" w:type="dxa"/>
              <w:bottom w:w="75" w:type="dxa"/>
              <w:left w:w="90" w:type="dxa"/>
              <w:right w:w="90" w:type="dxa"/>
            </w:tcMar>
          </w:tcPr>
          <w:p>
            <w:pPr>
              <w:keepNext w:val="0"/>
              <w:widowControl/>
              <w:spacing w:before="0" w:after="20" w:line="240" w:lineRule="auto"/>
            </w:pPr>
            <w:r>
              <w:rPr>
                <w:b w:val="0"/>
                <w:color w:val="000000"/>
                <w:sz w:val="18"/>
              </w:rPr>
              <w:t>Vigente</w:t>
            </w:r>
          </w:p>
        </w:tc>
      </w:tr>
      <w:tr>
        <w:trPr>
          <w:cantSplit/>
        </w:trPr>
        <w:tc>
          <w:tcPr>
            <w:tcW w:type="dxa" w:w="1830"/>
            <w:vAlign w:val="center"/>
            <w:tcMar>
              <w:top w:w="75" w:type="dxa"/>
              <w:bottom w:w="75" w:type="dxa"/>
              <w:left w:w="90" w:type="dxa"/>
              <w:right w:w="90" w:type="dxa"/>
            </w:tcMar>
          </w:tcPr>
          <w:p>
            <w:pPr>
              <w:keepNext w:val="0"/>
              <w:widowControl/>
              <w:spacing w:before="0" w:after="20" w:line="240" w:lineRule="auto"/>
            </w:pPr>
            <w:r>
              <w:rPr>
                <w:b w:val="0"/>
                <w:color w:val="000000"/>
                <w:sz w:val="18"/>
              </w:rPr>
              <w:t>CC-CP-09 / 06</w:t>
            </w:r>
          </w:p>
        </w:tc>
        <w:tc>
          <w:tcPr>
            <w:tcW w:type="dxa" w:w="4778"/>
            <w:vAlign w:val="center"/>
            <w:tcMar>
              <w:top w:w="75" w:type="dxa"/>
              <w:bottom w:w="75" w:type="dxa"/>
              <w:left w:w="90" w:type="dxa"/>
              <w:right w:w="90" w:type="dxa"/>
            </w:tcMar>
          </w:tcPr>
          <w:p>
            <w:pPr>
              <w:keepNext w:val="0"/>
              <w:widowControl/>
              <w:spacing w:before="0" w:after="20" w:line="240" w:lineRule="auto"/>
            </w:pPr>
            <w:r>
              <w:rPr>
                <w:b w:val="0"/>
                <w:color w:val="000000"/>
                <w:sz w:val="18"/>
              </w:rPr>
              <w:t>Compras y desarrollo de proveedores</w:t>
            </w:r>
          </w:p>
        </w:tc>
        <w:tc>
          <w:tcPr>
            <w:tcW w:type="dxa" w:w="162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2025-08-11</w:t>
            </w:r>
          </w:p>
        </w:tc>
        <w:tc>
          <w:tcPr>
            <w:tcW w:type="dxa" w:w="1932"/>
            <w:vAlign w:val="center"/>
            <w:tcMar>
              <w:top w:w="75" w:type="dxa"/>
              <w:bottom w:w="75" w:type="dxa"/>
              <w:left w:w="90" w:type="dxa"/>
              <w:right w:w="90" w:type="dxa"/>
            </w:tcMar>
          </w:tcPr>
          <w:p>
            <w:pPr>
              <w:keepNext w:val="0"/>
              <w:widowControl/>
              <w:spacing w:before="0" w:after="20" w:line="240" w:lineRule="auto"/>
            </w:pPr>
            <w:r>
              <w:rPr>
                <w:b w:val="0"/>
                <w:color w:val="000000"/>
                <w:sz w:val="18"/>
              </w:rPr>
              <w:t>Vigente</w:t>
            </w:r>
          </w:p>
        </w:tc>
      </w:tr>
      <w:tr>
        <w:trPr>
          <w:cantSplit/>
        </w:trPr>
        <w:tc>
          <w:tcPr>
            <w:tcW w:type="dxa" w:w="1830"/>
            <w:vAlign w:val="center"/>
            <w:tcMar>
              <w:top w:w="75" w:type="dxa"/>
              <w:bottom w:w="75" w:type="dxa"/>
              <w:left w:w="90" w:type="dxa"/>
              <w:right w:w="90" w:type="dxa"/>
            </w:tcMar>
          </w:tcPr>
          <w:p>
            <w:pPr>
              <w:keepNext w:val="0"/>
              <w:widowControl/>
              <w:spacing w:before="0" w:after="20" w:line="240" w:lineRule="auto"/>
            </w:pPr>
            <w:r>
              <w:rPr>
                <w:b w:val="0"/>
                <w:color w:val="000000"/>
                <w:sz w:val="18"/>
              </w:rPr>
              <w:t>CC-CP-10 / 04</w:t>
            </w:r>
          </w:p>
        </w:tc>
        <w:tc>
          <w:tcPr>
            <w:tcW w:type="dxa" w:w="4778"/>
            <w:vAlign w:val="center"/>
            <w:tcMar>
              <w:top w:w="75" w:type="dxa"/>
              <w:bottom w:w="75" w:type="dxa"/>
              <w:left w:w="90" w:type="dxa"/>
              <w:right w:w="90" w:type="dxa"/>
            </w:tcMar>
          </w:tcPr>
          <w:p>
            <w:pPr>
              <w:keepNext w:val="0"/>
              <w:widowControl/>
              <w:spacing w:before="0" w:after="20" w:line="240" w:lineRule="auto"/>
            </w:pPr>
            <w:r>
              <w:rPr>
                <w:b w:val="0"/>
                <w:color w:val="000000"/>
                <w:sz w:val="18"/>
              </w:rPr>
              <w:t>Despacho transporte y entrega</w:t>
            </w:r>
          </w:p>
        </w:tc>
        <w:tc>
          <w:tcPr>
            <w:tcW w:type="dxa" w:w="162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2025-09-01</w:t>
            </w:r>
          </w:p>
        </w:tc>
        <w:tc>
          <w:tcPr>
            <w:tcW w:type="dxa" w:w="1932"/>
            <w:vAlign w:val="center"/>
            <w:tcMar>
              <w:top w:w="75" w:type="dxa"/>
              <w:bottom w:w="75" w:type="dxa"/>
              <w:left w:w="90" w:type="dxa"/>
              <w:right w:w="90" w:type="dxa"/>
            </w:tcMar>
          </w:tcPr>
          <w:p>
            <w:pPr>
              <w:keepNext w:val="0"/>
              <w:widowControl/>
              <w:spacing w:before="0" w:after="20" w:line="240" w:lineRule="auto"/>
            </w:pPr>
            <w:r>
              <w:rPr>
                <w:b w:val="0"/>
                <w:color w:val="000000"/>
                <w:sz w:val="18"/>
              </w:rPr>
              <w:t>Vigente</w:t>
            </w:r>
          </w:p>
        </w:tc>
      </w:tr>
      <w:tr>
        <w:trPr>
          <w:cantSplit/>
        </w:trPr>
        <w:tc>
          <w:tcPr>
            <w:tcW w:type="dxa" w:w="1830"/>
            <w:vAlign w:val="center"/>
            <w:tcMar>
              <w:top w:w="75" w:type="dxa"/>
              <w:bottom w:w="75" w:type="dxa"/>
              <w:left w:w="90" w:type="dxa"/>
              <w:right w:w="90" w:type="dxa"/>
            </w:tcMar>
          </w:tcPr>
          <w:p>
            <w:pPr>
              <w:keepNext w:val="0"/>
              <w:widowControl/>
              <w:spacing w:before="0" w:after="20" w:line="240" w:lineRule="auto"/>
            </w:pPr>
            <w:r>
              <w:rPr>
                <w:b w:val="0"/>
                <w:color w:val="000000"/>
                <w:sz w:val="18"/>
              </w:rPr>
              <w:t>CC-CP-11 / 05</w:t>
            </w:r>
          </w:p>
        </w:tc>
        <w:tc>
          <w:tcPr>
            <w:tcW w:type="dxa" w:w="4778"/>
            <w:vAlign w:val="center"/>
            <w:tcMar>
              <w:top w:w="75" w:type="dxa"/>
              <w:bottom w:w="75" w:type="dxa"/>
              <w:left w:w="90" w:type="dxa"/>
              <w:right w:w="90" w:type="dxa"/>
            </w:tcMar>
          </w:tcPr>
          <w:p>
            <w:pPr>
              <w:keepNext w:val="0"/>
              <w:widowControl/>
              <w:spacing w:before="0" w:after="20" w:line="240" w:lineRule="auto"/>
            </w:pPr>
            <w:r>
              <w:rPr>
                <w:b w:val="0"/>
                <w:color w:val="000000"/>
                <w:sz w:val="18"/>
              </w:rPr>
              <w:t>Recepción almacenamiento y control de inventario</w:t>
            </w:r>
          </w:p>
        </w:tc>
        <w:tc>
          <w:tcPr>
            <w:tcW w:type="dxa" w:w="162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2025-08-18</w:t>
            </w:r>
          </w:p>
        </w:tc>
        <w:tc>
          <w:tcPr>
            <w:tcW w:type="dxa" w:w="1932"/>
            <w:vAlign w:val="center"/>
            <w:tcMar>
              <w:top w:w="75" w:type="dxa"/>
              <w:bottom w:w="75" w:type="dxa"/>
              <w:left w:w="90" w:type="dxa"/>
              <w:right w:w="90" w:type="dxa"/>
            </w:tcMar>
          </w:tcPr>
          <w:p>
            <w:pPr>
              <w:keepNext w:val="0"/>
              <w:widowControl/>
              <w:spacing w:before="0" w:after="20" w:line="240" w:lineRule="auto"/>
            </w:pPr>
            <w:r>
              <w:rPr>
                <w:b w:val="0"/>
                <w:color w:val="000000"/>
                <w:sz w:val="18"/>
              </w:rPr>
              <w:t>Vigente</w:t>
            </w:r>
          </w:p>
        </w:tc>
      </w:tr>
      <w:tr>
        <w:trPr>
          <w:cantSplit/>
        </w:trPr>
        <w:tc>
          <w:tcPr>
            <w:tcW w:type="dxa" w:w="1830"/>
            <w:vAlign w:val="center"/>
            <w:tcMar>
              <w:top w:w="75" w:type="dxa"/>
              <w:bottom w:w="75" w:type="dxa"/>
              <w:left w:w="90" w:type="dxa"/>
              <w:right w:w="90" w:type="dxa"/>
            </w:tcMar>
          </w:tcPr>
          <w:p>
            <w:pPr>
              <w:keepNext w:val="0"/>
              <w:widowControl/>
              <w:spacing w:before="0" w:after="20" w:line="240" w:lineRule="auto"/>
            </w:pPr>
            <w:r>
              <w:rPr>
                <w:b w:val="0"/>
                <w:color w:val="000000"/>
                <w:sz w:val="18"/>
              </w:rPr>
              <w:t>CC-CP-12 / 04</w:t>
            </w:r>
          </w:p>
        </w:tc>
        <w:tc>
          <w:tcPr>
            <w:tcW w:type="dxa" w:w="4778"/>
            <w:vAlign w:val="center"/>
            <w:tcMar>
              <w:top w:w="75" w:type="dxa"/>
              <w:bottom w:w="75" w:type="dxa"/>
              <w:left w:w="90" w:type="dxa"/>
              <w:right w:w="90" w:type="dxa"/>
            </w:tcMar>
          </w:tcPr>
          <w:p>
            <w:pPr>
              <w:keepNext w:val="0"/>
              <w:widowControl/>
              <w:spacing w:before="0" w:after="20" w:line="240" w:lineRule="auto"/>
            </w:pPr>
            <w:r>
              <w:rPr>
                <w:b w:val="0"/>
                <w:color w:val="000000"/>
                <w:sz w:val="18"/>
              </w:rPr>
              <w:t>Montaje puesta en servicio y entrega técnica</w:t>
            </w:r>
          </w:p>
        </w:tc>
        <w:tc>
          <w:tcPr>
            <w:tcW w:type="dxa" w:w="162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2025-09-08</w:t>
            </w:r>
          </w:p>
        </w:tc>
        <w:tc>
          <w:tcPr>
            <w:tcW w:type="dxa" w:w="1932"/>
            <w:vAlign w:val="center"/>
            <w:tcMar>
              <w:top w:w="75" w:type="dxa"/>
              <w:bottom w:w="75" w:type="dxa"/>
              <w:left w:w="90" w:type="dxa"/>
              <w:right w:w="90" w:type="dxa"/>
            </w:tcMar>
          </w:tcPr>
          <w:p>
            <w:pPr>
              <w:keepNext w:val="0"/>
              <w:widowControl/>
              <w:spacing w:before="0" w:after="20" w:line="240" w:lineRule="auto"/>
            </w:pPr>
            <w:r>
              <w:rPr>
                <w:b w:val="0"/>
                <w:color w:val="000000"/>
                <w:sz w:val="18"/>
              </w:rPr>
              <w:t>Vigente</w:t>
            </w:r>
          </w:p>
        </w:tc>
      </w:tr>
      <w:tr>
        <w:trPr>
          <w:cantSplit/>
        </w:trPr>
        <w:tc>
          <w:tcPr>
            <w:tcW w:type="dxa" w:w="1830"/>
            <w:vAlign w:val="center"/>
            <w:tcMar>
              <w:top w:w="75" w:type="dxa"/>
              <w:bottom w:w="75" w:type="dxa"/>
              <w:left w:w="90" w:type="dxa"/>
              <w:right w:w="90" w:type="dxa"/>
            </w:tcMar>
          </w:tcPr>
          <w:p>
            <w:pPr>
              <w:keepNext w:val="0"/>
              <w:widowControl/>
              <w:spacing w:before="0" w:after="20" w:line="240" w:lineRule="auto"/>
            </w:pPr>
            <w:r>
              <w:rPr>
                <w:b w:val="0"/>
                <w:color w:val="000000"/>
                <w:sz w:val="18"/>
              </w:rPr>
              <w:t>CC-CP-13 / 03</w:t>
            </w:r>
          </w:p>
        </w:tc>
        <w:tc>
          <w:tcPr>
            <w:tcW w:type="dxa" w:w="4778"/>
            <w:vAlign w:val="center"/>
            <w:tcMar>
              <w:top w:w="75" w:type="dxa"/>
              <w:bottom w:w="75" w:type="dxa"/>
              <w:left w:w="90" w:type="dxa"/>
              <w:right w:w="90" w:type="dxa"/>
            </w:tcMar>
          </w:tcPr>
          <w:p>
            <w:pPr>
              <w:keepNext w:val="0"/>
              <w:widowControl/>
              <w:spacing w:before="0" w:after="20" w:line="240" w:lineRule="auto"/>
            </w:pPr>
            <w:r>
              <w:rPr>
                <w:b w:val="0"/>
                <w:color w:val="000000"/>
                <w:sz w:val="18"/>
              </w:rPr>
              <w:t>Atención al cliente y gestión de solicitudes</w:t>
            </w:r>
          </w:p>
        </w:tc>
        <w:tc>
          <w:tcPr>
            <w:tcW w:type="dxa" w:w="162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2025-06-16</w:t>
            </w:r>
          </w:p>
        </w:tc>
        <w:tc>
          <w:tcPr>
            <w:tcW w:type="dxa" w:w="1932"/>
            <w:vAlign w:val="center"/>
            <w:tcMar>
              <w:top w:w="75" w:type="dxa"/>
              <w:bottom w:w="75" w:type="dxa"/>
              <w:left w:w="90" w:type="dxa"/>
              <w:right w:w="90" w:type="dxa"/>
            </w:tcMar>
          </w:tcPr>
          <w:p>
            <w:pPr>
              <w:keepNext w:val="0"/>
              <w:widowControl/>
              <w:spacing w:before="0" w:after="20" w:line="240" w:lineRule="auto"/>
            </w:pPr>
            <w:r>
              <w:rPr>
                <w:b w:val="0"/>
                <w:color w:val="000000"/>
                <w:sz w:val="18"/>
              </w:rPr>
              <w:t>Vigente</w:t>
            </w:r>
          </w:p>
        </w:tc>
      </w:tr>
      <w:tr>
        <w:trPr>
          <w:cantSplit/>
        </w:trPr>
        <w:tc>
          <w:tcPr>
            <w:tcW w:type="dxa" w:w="1830"/>
            <w:vAlign w:val="center"/>
            <w:tcMar>
              <w:top w:w="75" w:type="dxa"/>
              <w:bottom w:w="75" w:type="dxa"/>
              <w:left w:w="90" w:type="dxa"/>
              <w:right w:w="90" w:type="dxa"/>
            </w:tcMar>
          </w:tcPr>
          <w:p>
            <w:pPr>
              <w:keepNext w:val="0"/>
              <w:widowControl/>
              <w:spacing w:before="0" w:after="20" w:line="240" w:lineRule="auto"/>
            </w:pPr>
            <w:r>
              <w:rPr>
                <w:b w:val="0"/>
                <w:color w:val="000000"/>
                <w:sz w:val="18"/>
              </w:rPr>
              <w:t>CC-CP-14 / 03</w:t>
            </w:r>
          </w:p>
        </w:tc>
        <w:tc>
          <w:tcPr>
            <w:tcW w:type="dxa" w:w="4778"/>
            <w:vAlign w:val="center"/>
            <w:tcMar>
              <w:top w:w="75" w:type="dxa"/>
              <w:bottom w:w="75" w:type="dxa"/>
              <w:left w:w="90" w:type="dxa"/>
              <w:right w:w="90" w:type="dxa"/>
            </w:tcMar>
          </w:tcPr>
          <w:p>
            <w:pPr>
              <w:keepNext w:val="0"/>
              <w:widowControl/>
              <w:spacing w:before="0" w:after="20" w:line="240" w:lineRule="auto"/>
            </w:pPr>
            <w:r>
              <w:rPr>
                <w:b w:val="0"/>
                <w:color w:val="000000"/>
                <w:sz w:val="18"/>
              </w:rPr>
              <w:t>Tecnología continuidad y control de información</w:t>
            </w:r>
          </w:p>
        </w:tc>
        <w:tc>
          <w:tcPr>
            <w:tcW w:type="dxa" w:w="162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2025-08-04</w:t>
            </w:r>
          </w:p>
        </w:tc>
        <w:tc>
          <w:tcPr>
            <w:tcW w:type="dxa" w:w="1932"/>
            <w:vAlign w:val="center"/>
            <w:tcMar>
              <w:top w:w="75" w:type="dxa"/>
              <w:bottom w:w="75" w:type="dxa"/>
              <w:left w:w="90" w:type="dxa"/>
              <w:right w:w="90" w:type="dxa"/>
            </w:tcMar>
          </w:tcPr>
          <w:p>
            <w:pPr>
              <w:keepNext w:val="0"/>
              <w:widowControl/>
              <w:spacing w:before="0" w:after="20" w:line="240" w:lineRule="auto"/>
            </w:pPr>
            <w:r>
              <w:rPr>
                <w:b w:val="0"/>
                <w:color w:val="000000"/>
                <w:sz w:val="18"/>
              </w:rPr>
              <w:t>Vigente</w:t>
            </w:r>
          </w:p>
        </w:tc>
      </w:tr>
      <w:tr>
        <w:trPr>
          <w:cantSplit/>
        </w:trPr>
        <w:tc>
          <w:tcPr>
            <w:tcW w:type="dxa" w:w="1830"/>
            <w:vAlign w:val="center"/>
            <w:tcMar>
              <w:top w:w="75" w:type="dxa"/>
              <w:bottom w:w="75" w:type="dxa"/>
              <w:left w:w="90" w:type="dxa"/>
              <w:right w:w="90" w:type="dxa"/>
            </w:tcMar>
          </w:tcPr>
          <w:p>
            <w:pPr>
              <w:keepNext w:val="0"/>
              <w:widowControl/>
              <w:spacing w:before="0" w:after="20" w:line="240" w:lineRule="auto"/>
            </w:pPr>
            <w:r>
              <w:rPr>
                <w:b w:val="0"/>
                <w:color w:val="000000"/>
                <w:sz w:val="18"/>
              </w:rPr>
              <w:t>CC-CP-15 / 05</w:t>
            </w:r>
          </w:p>
        </w:tc>
        <w:tc>
          <w:tcPr>
            <w:tcW w:type="dxa" w:w="4778"/>
            <w:vAlign w:val="center"/>
            <w:tcMar>
              <w:top w:w="75" w:type="dxa"/>
              <w:bottom w:w="75" w:type="dxa"/>
              <w:left w:w="90" w:type="dxa"/>
              <w:right w:w="90" w:type="dxa"/>
            </w:tcMar>
          </w:tcPr>
          <w:p>
            <w:pPr>
              <w:keepNext w:val="0"/>
              <w:widowControl/>
              <w:spacing w:before="0" w:after="20" w:line="240" w:lineRule="auto"/>
            </w:pPr>
            <w:r>
              <w:rPr>
                <w:b w:val="0"/>
                <w:color w:val="000000"/>
                <w:sz w:val="18"/>
              </w:rPr>
              <w:t>Diseño de espacios y soluciones para cafeterías</w:t>
            </w:r>
          </w:p>
        </w:tc>
        <w:tc>
          <w:tcPr>
            <w:tcW w:type="dxa" w:w="162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2025-07-21</w:t>
            </w:r>
          </w:p>
        </w:tc>
        <w:tc>
          <w:tcPr>
            <w:tcW w:type="dxa" w:w="1932"/>
            <w:vAlign w:val="center"/>
            <w:tcMar>
              <w:top w:w="75" w:type="dxa"/>
              <w:bottom w:w="75" w:type="dxa"/>
              <w:left w:w="90" w:type="dxa"/>
              <w:right w:w="90" w:type="dxa"/>
            </w:tcMar>
          </w:tcPr>
          <w:p>
            <w:pPr>
              <w:keepNext w:val="0"/>
              <w:widowControl/>
              <w:spacing w:before="0" w:after="20" w:line="240" w:lineRule="auto"/>
            </w:pPr>
            <w:r>
              <w:rPr>
                <w:b w:val="0"/>
                <w:color w:val="000000"/>
                <w:sz w:val="18"/>
              </w:rPr>
              <w:t>Vigente</w:t>
            </w:r>
          </w:p>
        </w:tc>
      </w:tr>
      <w:tr>
        <w:trPr>
          <w:cantSplit/>
        </w:trPr>
        <w:tc>
          <w:tcPr>
            <w:tcW w:type="dxa" w:w="1830"/>
            <w:vAlign w:val="center"/>
            <w:tcMar>
              <w:top w:w="75" w:type="dxa"/>
              <w:bottom w:w="75" w:type="dxa"/>
              <w:left w:w="90" w:type="dxa"/>
              <w:right w:w="90" w:type="dxa"/>
            </w:tcMar>
          </w:tcPr>
          <w:p>
            <w:pPr>
              <w:keepNext w:val="0"/>
              <w:widowControl/>
              <w:spacing w:before="0" w:after="20" w:line="240" w:lineRule="auto"/>
            </w:pPr>
            <w:r>
              <w:rPr>
                <w:b w:val="0"/>
                <w:color w:val="000000"/>
                <w:sz w:val="18"/>
              </w:rPr>
              <w:t>CC-CP-16 / 04</w:t>
            </w:r>
          </w:p>
        </w:tc>
        <w:tc>
          <w:tcPr>
            <w:tcW w:type="dxa" w:w="4778"/>
            <w:vAlign w:val="center"/>
            <w:tcMar>
              <w:top w:w="75" w:type="dxa"/>
              <w:bottom w:w="75" w:type="dxa"/>
              <w:left w:w="90" w:type="dxa"/>
              <w:right w:w="90" w:type="dxa"/>
            </w:tcMar>
          </w:tcPr>
          <w:p>
            <w:pPr>
              <w:keepNext w:val="0"/>
              <w:widowControl/>
              <w:spacing w:before="0" w:after="20" w:line="240" w:lineRule="auto"/>
            </w:pPr>
            <w:r>
              <w:rPr>
                <w:b w:val="0"/>
                <w:color w:val="000000"/>
                <w:sz w:val="18"/>
              </w:rPr>
              <w:t>Aseguramiento de calidad y servicio de posventa</w:t>
            </w:r>
          </w:p>
        </w:tc>
        <w:tc>
          <w:tcPr>
            <w:tcW w:type="dxa" w:w="162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2025-11-03</w:t>
            </w:r>
          </w:p>
        </w:tc>
        <w:tc>
          <w:tcPr>
            <w:tcW w:type="dxa" w:w="1932"/>
            <w:vAlign w:val="center"/>
            <w:tcMar>
              <w:top w:w="75" w:type="dxa"/>
              <w:bottom w:w="75" w:type="dxa"/>
              <w:left w:w="90" w:type="dxa"/>
              <w:right w:w="90" w:type="dxa"/>
            </w:tcMar>
          </w:tcPr>
          <w:p>
            <w:pPr>
              <w:keepNext w:val="0"/>
              <w:widowControl/>
              <w:spacing w:before="0" w:after="20" w:line="240" w:lineRule="auto"/>
            </w:pPr>
            <w:r>
              <w:rPr>
                <w:b w:val="0"/>
                <w:color w:val="000000"/>
                <w:sz w:val="18"/>
              </w:rPr>
              <w:t>Vigente</w:t>
            </w:r>
          </w:p>
        </w:tc>
      </w:tr>
      <w:tr>
        <w:trPr>
          <w:cantSplit/>
        </w:trPr>
        <w:tc>
          <w:tcPr>
            <w:tcW w:type="dxa" w:w="1830"/>
            <w:vAlign w:val="center"/>
            <w:tcMar>
              <w:top w:w="75" w:type="dxa"/>
              <w:bottom w:w="75" w:type="dxa"/>
              <w:left w:w="90" w:type="dxa"/>
              <w:right w:w="90" w:type="dxa"/>
            </w:tcMar>
          </w:tcPr>
          <w:p>
            <w:pPr>
              <w:keepNext w:val="0"/>
              <w:widowControl/>
              <w:spacing w:before="0" w:after="20" w:line="240" w:lineRule="auto"/>
            </w:pPr>
            <w:r>
              <w:rPr>
                <w:b w:val="0"/>
                <w:color w:val="000000"/>
                <w:sz w:val="18"/>
              </w:rPr>
              <w:t>CC-CP-17 / 02</w:t>
            </w:r>
          </w:p>
        </w:tc>
        <w:tc>
          <w:tcPr>
            <w:tcW w:type="dxa" w:w="4778"/>
            <w:vAlign w:val="center"/>
            <w:tcMar>
              <w:top w:w="75" w:type="dxa"/>
              <w:bottom w:w="75" w:type="dxa"/>
              <w:left w:w="90" w:type="dxa"/>
              <w:right w:w="90" w:type="dxa"/>
            </w:tcMar>
          </w:tcPr>
          <w:p>
            <w:pPr>
              <w:keepNext w:val="0"/>
              <w:widowControl/>
              <w:spacing w:before="0" w:after="20" w:line="240" w:lineRule="auto"/>
            </w:pPr>
            <w:r>
              <w:rPr>
                <w:b w:val="0"/>
                <w:color w:val="000000"/>
                <w:sz w:val="18"/>
              </w:rPr>
              <w:t>Gestión contractual y seguimiento de compromisos</w:t>
            </w:r>
          </w:p>
        </w:tc>
        <w:tc>
          <w:tcPr>
            <w:tcW w:type="dxa" w:w="162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2025-05-19</w:t>
            </w:r>
          </w:p>
        </w:tc>
        <w:tc>
          <w:tcPr>
            <w:tcW w:type="dxa" w:w="1932"/>
            <w:vAlign w:val="center"/>
            <w:tcMar>
              <w:top w:w="75" w:type="dxa"/>
              <w:bottom w:w="75" w:type="dxa"/>
              <w:left w:w="90" w:type="dxa"/>
              <w:right w:w="90" w:type="dxa"/>
            </w:tcMar>
          </w:tcPr>
          <w:p>
            <w:pPr>
              <w:keepNext w:val="0"/>
              <w:widowControl/>
              <w:spacing w:before="0" w:after="20" w:line="240" w:lineRule="auto"/>
            </w:pPr>
            <w:r>
              <w:rPr>
                <w:b w:val="0"/>
                <w:color w:val="000000"/>
                <w:sz w:val="18"/>
              </w:rPr>
              <w:t>Vigente</w:t>
            </w:r>
          </w:p>
        </w:tc>
      </w:tr>
      <w:tr>
        <w:trPr>
          <w:cantSplit/>
        </w:trPr>
        <w:tc>
          <w:tcPr>
            <w:tcW w:type="dxa" w:w="1830"/>
            <w:vAlign w:val="center"/>
            <w:tcMar>
              <w:top w:w="75" w:type="dxa"/>
              <w:bottom w:w="75" w:type="dxa"/>
              <w:left w:w="90" w:type="dxa"/>
              <w:right w:w="90" w:type="dxa"/>
            </w:tcMar>
          </w:tcPr>
          <w:p>
            <w:pPr>
              <w:keepNext w:val="0"/>
              <w:widowControl/>
              <w:spacing w:before="0" w:after="20" w:line="240" w:lineRule="auto"/>
            </w:pPr>
            <w:r>
              <w:rPr>
                <w:b w:val="0"/>
                <w:color w:val="000000"/>
                <w:sz w:val="18"/>
              </w:rPr>
              <w:t>CC-PR-01 / 03</w:t>
            </w:r>
          </w:p>
        </w:tc>
        <w:tc>
          <w:tcPr>
            <w:tcW w:type="dxa" w:w="4778"/>
            <w:vAlign w:val="center"/>
            <w:tcMar>
              <w:top w:w="75" w:type="dxa"/>
              <w:bottom w:w="75" w:type="dxa"/>
              <w:left w:w="90" w:type="dxa"/>
              <w:right w:w="90" w:type="dxa"/>
            </w:tcMar>
          </w:tcPr>
          <w:p>
            <w:pPr>
              <w:keepNext w:val="0"/>
              <w:widowControl/>
              <w:spacing w:before="0" w:after="20" w:line="240" w:lineRule="auto"/>
            </w:pPr>
            <w:r>
              <w:rPr>
                <w:b w:val="0"/>
                <w:color w:val="000000"/>
                <w:sz w:val="18"/>
              </w:rPr>
              <w:t>Control de documentos y registros</w:t>
            </w:r>
          </w:p>
        </w:tc>
        <w:tc>
          <w:tcPr>
            <w:tcW w:type="dxa" w:w="162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2025-05-05</w:t>
            </w:r>
          </w:p>
        </w:tc>
        <w:tc>
          <w:tcPr>
            <w:tcW w:type="dxa" w:w="1932"/>
            <w:vAlign w:val="center"/>
            <w:tcMar>
              <w:top w:w="75" w:type="dxa"/>
              <w:bottom w:w="75" w:type="dxa"/>
              <w:left w:w="90" w:type="dxa"/>
              <w:right w:w="90" w:type="dxa"/>
            </w:tcMar>
          </w:tcPr>
          <w:p>
            <w:pPr>
              <w:keepNext w:val="0"/>
              <w:widowControl/>
              <w:spacing w:before="0" w:after="20" w:line="240" w:lineRule="auto"/>
            </w:pPr>
            <w:r>
              <w:rPr>
                <w:b w:val="0"/>
                <w:color w:val="000000"/>
                <w:sz w:val="18"/>
              </w:rPr>
              <w:t>Vigente</w:t>
            </w:r>
          </w:p>
        </w:tc>
      </w:tr>
      <w:tr>
        <w:trPr>
          <w:cantSplit/>
        </w:trPr>
        <w:tc>
          <w:tcPr>
            <w:tcW w:type="dxa" w:w="1830"/>
            <w:vAlign w:val="center"/>
            <w:tcMar>
              <w:top w:w="75" w:type="dxa"/>
              <w:bottom w:w="75" w:type="dxa"/>
              <w:left w:w="90" w:type="dxa"/>
              <w:right w:w="90" w:type="dxa"/>
            </w:tcMar>
          </w:tcPr>
          <w:p>
            <w:pPr>
              <w:keepNext w:val="0"/>
              <w:widowControl/>
              <w:spacing w:before="0" w:after="20" w:line="240" w:lineRule="auto"/>
            </w:pPr>
            <w:r>
              <w:rPr>
                <w:b w:val="0"/>
                <w:color w:val="000000"/>
                <w:sz w:val="18"/>
              </w:rPr>
              <w:t>CC-PR-02 / 02</w:t>
            </w:r>
          </w:p>
        </w:tc>
        <w:tc>
          <w:tcPr>
            <w:tcW w:type="dxa" w:w="4778"/>
            <w:vAlign w:val="center"/>
            <w:tcMar>
              <w:top w:w="75" w:type="dxa"/>
              <w:bottom w:w="75" w:type="dxa"/>
              <w:left w:w="90" w:type="dxa"/>
              <w:right w:w="90" w:type="dxa"/>
            </w:tcMar>
          </w:tcPr>
          <w:p>
            <w:pPr>
              <w:keepNext w:val="0"/>
              <w:widowControl/>
              <w:spacing w:before="0" w:after="20" w:line="240" w:lineRule="auto"/>
            </w:pPr>
            <w:r>
              <w:rPr>
                <w:b w:val="0"/>
                <w:color w:val="000000"/>
                <w:sz w:val="18"/>
              </w:rPr>
              <w:t>Gestión de riesgos oportunidades y cambios</w:t>
            </w:r>
          </w:p>
        </w:tc>
        <w:tc>
          <w:tcPr>
            <w:tcW w:type="dxa" w:w="162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2025-04-08</w:t>
            </w:r>
          </w:p>
        </w:tc>
        <w:tc>
          <w:tcPr>
            <w:tcW w:type="dxa" w:w="1932"/>
            <w:vAlign w:val="center"/>
            <w:tcMar>
              <w:top w:w="75" w:type="dxa"/>
              <w:bottom w:w="75" w:type="dxa"/>
              <w:left w:w="90" w:type="dxa"/>
              <w:right w:w="90" w:type="dxa"/>
            </w:tcMar>
          </w:tcPr>
          <w:p>
            <w:pPr>
              <w:keepNext w:val="0"/>
              <w:widowControl/>
              <w:spacing w:before="0" w:after="20" w:line="240" w:lineRule="auto"/>
            </w:pPr>
            <w:r>
              <w:rPr>
                <w:b w:val="0"/>
                <w:color w:val="000000"/>
                <w:sz w:val="18"/>
              </w:rPr>
              <w:t>Vigente</w:t>
            </w:r>
          </w:p>
        </w:tc>
      </w:tr>
      <w:tr>
        <w:trPr>
          <w:cantSplit/>
        </w:trPr>
        <w:tc>
          <w:tcPr>
            <w:tcW w:type="dxa" w:w="1830"/>
            <w:vAlign w:val="center"/>
            <w:tcMar>
              <w:top w:w="75" w:type="dxa"/>
              <w:bottom w:w="75" w:type="dxa"/>
              <w:left w:w="90" w:type="dxa"/>
              <w:right w:w="90" w:type="dxa"/>
            </w:tcMar>
          </w:tcPr>
          <w:p>
            <w:pPr>
              <w:keepNext w:val="0"/>
              <w:widowControl/>
              <w:spacing w:before="0" w:after="20" w:line="240" w:lineRule="auto"/>
            </w:pPr>
            <w:r>
              <w:rPr>
                <w:b w:val="0"/>
                <w:color w:val="000000"/>
                <w:sz w:val="18"/>
              </w:rPr>
              <w:t>CC-PR-03 / 02</w:t>
            </w:r>
          </w:p>
        </w:tc>
        <w:tc>
          <w:tcPr>
            <w:tcW w:type="dxa" w:w="4778"/>
            <w:vAlign w:val="center"/>
            <w:tcMar>
              <w:top w:w="75" w:type="dxa"/>
              <w:bottom w:w="75" w:type="dxa"/>
              <w:left w:w="90" w:type="dxa"/>
              <w:right w:w="90" w:type="dxa"/>
            </w:tcMar>
          </w:tcPr>
          <w:p>
            <w:pPr>
              <w:keepNext w:val="0"/>
              <w:widowControl/>
              <w:spacing w:before="0" w:after="20" w:line="240" w:lineRule="auto"/>
            </w:pPr>
            <w:r>
              <w:rPr>
                <w:b w:val="0"/>
                <w:color w:val="000000"/>
                <w:sz w:val="18"/>
              </w:rPr>
              <w:t>Auditoría interna del sistema de calidad</w:t>
            </w:r>
          </w:p>
        </w:tc>
        <w:tc>
          <w:tcPr>
            <w:tcW w:type="dxa" w:w="162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2025-03-03</w:t>
            </w:r>
          </w:p>
        </w:tc>
        <w:tc>
          <w:tcPr>
            <w:tcW w:type="dxa" w:w="1932"/>
            <w:vAlign w:val="center"/>
            <w:tcMar>
              <w:top w:w="75" w:type="dxa"/>
              <w:bottom w:w="75" w:type="dxa"/>
              <w:left w:w="90" w:type="dxa"/>
              <w:right w:w="90" w:type="dxa"/>
            </w:tcMar>
          </w:tcPr>
          <w:p>
            <w:pPr>
              <w:keepNext w:val="0"/>
              <w:widowControl/>
              <w:spacing w:before="0" w:after="20" w:line="240" w:lineRule="auto"/>
            </w:pPr>
            <w:r>
              <w:rPr>
                <w:b w:val="0"/>
                <w:color w:val="000000"/>
                <w:sz w:val="18"/>
              </w:rPr>
              <w:t>Vigente</w:t>
            </w:r>
          </w:p>
        </w:tc>
      </w:tr>
      <w:tr>
        <w:trPr>
          <w:cantSplit/>
        </w:trPr>
        <w:tc>
          <w:tcPr>
            <w:tcW w:type="dxa" w:w="1830"/>
            <w:vAlign w:val="center"/>
            <w:tcMar>
              <w:top w:w="75" w:type="dxa"/>
              <w:bottom w:w="75" w:type="dxa"/>
              <w:left w:w="90" w:type="dxa"/>
              <w:right w:w="90" w:type="dxa"/>
            </w:tcMar>
          </w:tcPr>
          <w:p>
            <w:pPr>
              <w:keepNext w:val="0"/>
              <w:widowControl/>
              <w:spacing w:before="0" w:after="20" w:line="240" w:lineRule="auto"/>
            </w:pPr>
            <w:r>
              <w:rPr>
                <w:b w:val="0"/>
                <w:color w:val="000000"/>
                <w:sz w:val="18"/>
              </w:rPr>
              <w:t>CC-PR-04 / 03</w:t>
            </w:r>
          </w:p>
        </w:tc>
        <w:tc>
          <w:tcPr>
            <w:tcW w:type="dxa" w:w="4778"/>
            <w:vAlign w:val="center"/>
            <w:tcMar>
              <w:top w:w="75" w:type="dxa"/>
              <w:bottom w:w="75" w:type="dxa"/>
              <w:left w:w="90" w:type="dxa"/>
              <w:right w:w="90" w:type="dxa"/>
            </w:tcMar>
          </w:tcPr>
          <w:p>
            <w:pPr>
              <w:keepNext w:val="0"/>
              <w:widowControl/>
              <w:spacing w:before="0" w:after="20" w:line="240" w:lineRule="auto"/>
            </w:pPr>
            <w:r>
              <w:rPr>
                <w:b w:val="0"/>
                <w:color w:val="000000"/>
                <w:sz w:val="18"/>
              </w:rPr>
              <w:t>Salidas no conformes y acciones correctivas</w:t>
            </w:r>
          </w:p>
        </w:tc>
        <w:tc>
          <w:tcPr>
            <w:tcW w:type="dxa" w:w="162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2025-06-16</w:t>
            </w:r>
          </w:p>
        </w:tc>
        <w:tc>
          <w:tcPr>
            <w:tcW w:type="dxa" w:w="1932"/>
            <w:vAlign w:val="center"/>
            <w:tcMar>
              <w:top w:w="75" w:type="dxa"/>
              <w:bottom w:w="75" w:type="dxa"/>
              <w:left w:w="90" w:type="dxa"/>
              <w:right w:w="90" w:type="dxa"/>
            </w:tcMar>
          </w:tcPr>
          <w:p>
            <w:pPr>
              <w:keepNext w:val="0"/>
              <w:widowControl/>
              <w:spacing w:before="0" w:after="20" w:line="240" w:lineRule="auto"/>
            </w:pPr>
            <w:r>
              <w:rPr>
                <w:b w:val="0"/>
                <w:color w:val="000000"/>
                <w:sz w:val="18"/>
              </w:rPr>
              <w:t>Vigente</w:t>
            </w:r>
          </w:p>
        </w:tc>
      </w:tr>
      <w:tr>
        <w:trPr>
          <w:cantSplit/>
        </w:trPr>
        <w:tc>
          <w:tcPr>
            <w:tcW w:type="dxa" w:w="1830"/>
            <w:vAlign w:val="center"/>
            <w:tcMar>
              <w:top w:w="75" w:type="dxa"/>
              <w:bottom w:w="75" w:type="dxa"/>
              <w:left w:w="90" w:type="dxa"/>
              <w:right w:w="90" w:type="dxa"/>
            </w:tcMar>
          </w:tcPr>
          <w:p>
            <w:pPr>
              <w:keepNext w:val="0"/>
              <w:widowControl/>
              <w:spacing w:before="0" w:after="20" w:line="240" w:lineRule="auto"/>
            </w:pPr>
            <w:r>
              <w:rPr>
                <w:b w:val="0"/>
                <w:color w:val="000000"/>
                <w:sz w:val="18"/>
              </w:rPr>
              <w:t>CC-PR-05 / 02</w:t>
            </w:r>
          </w:p>
        </w:tc>
        <w:tc>
          <w:tcPr>
            <w:tcW w:type="dxa" w:w="4778"/>
            <w:vAlign w:val="center"/>
            <w:tcMar>
              <w:top w:w="75" w:type="dxa"/>
              <w:bottom w:w="75" w:type="dxa"/>
              <w:left w:w="90" w:type="dxa"/>
              <w:right w:w="90" w:type="dxa"/>
            </w:tcMar>
          </w:tcPr>
          <w:p>
            <w:pPr>
              <w:keepNext w:val="0"/>
              <w:widowControl/>
              <w:spacing w:before="0" w:after="20" w:line="240" w:lineRule="auto"/>
            </w:pPr>
            <w:r>
              <w:rPr>
                <w:b w:val="0"/>
                <w:color w:val="000000"/>
                <w:sz w:val="18"/>
              </w:rPr>
              <w:t>Competencia formación y conocimiento operativo</w:t>
            </w:r>
          </w:p>
        </w:tc>
        <w:tc>
          <w:tcPr>
            <w:tcW w:type="dxa" w:w="162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2025-07-07</w:t>
            </w:r>
          </w:p>
        </w:tc>
        <w:tc>
          <w:tcPr>
            <w:tcW w:type="dxa" w:w="1932"/>
            <w:vAlign w:val="center"/>
            <w:tcMar>
              <w:top w:w="75" w:type="dxa"/>
              <w:bottom w:w="75" w:type="dxa"/>
              <w:left w:w="90" w:type="dxa"/>
              <w:right w:w="90" w:type="dxa"/>
            </w:tcMar>
          </w:tcPr>
          <w:p>
            <w:pPr>
              <w:keepNext w:val="0"/>
              <w:widowControl/>
              <w:spacing w:before="0" w:after="20" w:line="240" w:lineRule="auto"/>
            </w:pPr>
            <w:r>
              <w:rPr>
                <w:b w:val="0"/>
                <w:color w:val="000000"/>
                <w:sz w:val="18"/>
              </w:rPr>
              <w:t>Vigente</w:t>
            </w:r>
          </w:p>
        </w:tc>
      </w:tr>
      <w:tr>
        <w:trPr>
          <w:cantSplit/>
        </w:trPr>
        <w:tc>
          <w:tcPr>
            <w:tcW w:type="dxa" w:w="1830"/>
            <w:vAlign w:val="center"/>
            <w:tcMar>
              <w:top w:w="75" w:type="dxa"/>
              <w:bottom w:w="75" w:type="dxa"/>
              <w:left w:w="90" w:type="dxa"/>
              <w:right w:w="90" w:type="dxa"/>
            </w:tcMar>
          </w:tcPr>
          <w:p>
            <w:pPr>
              <w:keepNext w:val="0"/>
              <w:widowControl/>
              <w:spacing w:before="0" w:after="20" w:line="240" w:lineRule="auto"/>
            </w:pPr>
            <w:r>
              <w:rPr>
                <w:b w:val="0"/>
                <w:color w:val="000000"/>
                <w:sz w:val="18"/>
              </w:rPr>
              <w:t>CC-RG-01 / 02</w:t>
            </w:r>
          </w:p>
        </w:tc>
        <w:tc>
          <w:tcPr>
            <w:tcW w:type="dxa" w:w="4778"/>
            <w:vAlign w:val="center"/>
            <w:tcMar>
              <w:top w:w="75" w:type="dxa"/>
              <w:bottom w:w="75" w:type="dxa"/>
              <w:left w:w="90" w:type="dxa"/>
              <w:right w:w="90" w:type="dxa"/>
            </w:tcMar>
          </w:tcPr>
          <w:p>
            <w:pPr>
              <w:keepNext w:val="0"/>
              <w:widowControl/>
              <w:spacing w:before="0" w:after="20" w:line="240" w:lineRule="auto"/>
            </w:pPr>
            <w:r>
              <w:rPr>
                <w:b w:val="0"/>
                <w:color w:val="000000"/>
                <w:sz w:val="18"/>
              </w:rPr>
              <w:t>Expediente comercial y de diseño PRJ 005</w:t>
            </w:r>
          </w:p>
        </w:tc>
        <w:tc>
          <w:tcPr>
            <w:tcW w:type="dxa" w:w="162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2025-08-26</w:t>
            </w:r>
          </w:p>
        </w:tc>
        <w:tc>
          <w:tcPr>
            <w:tcW w:type="dxa" w:w="1932"/>
            <w:vAlign w:val="center"/>
            <w:tcMar>
              <w:top w:w="75" w:type="dxa"/>
              <w:bottom w:w="75" w:type="dxa"/>
              <w:left w:w="90" w:type="dxa"/>
              <w:right w:w="90" w:type="dxa"/>
            </w:tcMar>
          </w:tcPr>
          <w:p>
            <w:pPr>
              <w:keepNext w:val="0"/>
              <w:widowControl/>
              <w:spacing w:before="0" w:after="20" w:line="240" w:lineRule="auto"/>
            </w:pPr>
            <w:r>
              <w:rPr>
                <w:b w:val="0"/>
                <w:color w:val="000000"/>
                <w:sz w:val="18"/>
              </w:rPr>
              <w:t>Cerrado</w:t>
            </w:r>
          </w:p>
        </w:tc>
      </w:tr>
      <w:tr>
        <w:trPr>
          <w:cantSplit/>
        </w:trPr>
        <w:tc>
          <w:tcPr>
            <w:tcW w:type="dxa" w:w="1830"/>
            <w:vAlign w:val="center"/>
            <w:tcMar>
              <w:top w:w="75" w:type="dxa"/>
              <w:bottom w:w="75" w:type="dxa"/>
              <w:left w:w="90" w:type="dxa"/>
              <w:right w:w="90" w:type="dxa"/>
            </w:tcMar>
          </w:tcPr>
          <w:p>
            <w:pPr>
              <w:keepNext w:val="0"/>
              <w:widowControl/>
              <w:spacing w:before="0" w:after="20" w:line="240" w:lineRule="auto"/>
            </w:pPr>
            <w:r>
              <w:rPr>
                <w:b w:val="0"/>
                <w:color w:val="000000"/>
                <w:sz w:val="18"/>
              </w:rPr>
              <w:t>CC-RG-02 / 01</w:t>
            </w:r>
          </w:p>
        </w:tc>
        <w:tc>
          <w:tcPr>
            <w:tcW w:type="dxa" w:w="4778"/>
            <w:vAlign w:val="center"/>
            <w:tcMar>
              <w:top w:w="75" w:type="dxa"/>
              <w:bottom w:w="75" w:type="dxa"/>
              <w:left w:w="90" w:type="dxa"/>
              <w:right w:w="90" w:type="dxa"/>
            </w:tcMar>
          </w:tcPr>
          <w:p>
            <w:pPr>
              <w:keepNext w:val="0"/>
              <w:widowControl/>
              <w:spacing w:before="0" w:after="20" w:line="240" w:lineRule="auto"/>
            </w:pPr>
            <w:r>
              <w:rPr>
                <w:b w:val="0"/>
                <w:color w:val="000000"/>
                <w:sz w:val="18"/>
              </w:rPr>
              <w:t>Compras recepción y entrega PRJ 005</w:t>
            </w:r>
          </w:p>
        </w:tc>
        <w:tc>
          <w:tcPr>
            <w:tcW w:type="dxa" w:w="162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2025-09-15</w:t>
            </w:r>
          </w:p>
        </w:tc>
        <w:tc>
          <w:tcPr>
            <w:tcW w:type="dxa" w:w="1932"/>
            <w:vAlign w:val="center"/>
            <w:tcMar>
              <w:top w:w="75" w:type="dxa"/>
              <w:bottom w:w="75" w:type="dxa"/>
              <w:left w:w="90" w:type="dxa"/>
              <w:right w:w="90" w:type="dxa"/>
            </w:tcMar>
          </w:tcPr>
          <w:p>
            <w:pPr>
              <w:keepNext w:val="0"/>
              <w:widowControl/>
              <w:spacing w:before="0" w:after="20" w:line="240" w:lineRule="auto"/>
            </w:pPr>
            <w:r>
              <w:rPr>
                <w:b w:val="0"/>
                <w:color w:val="000000"/>
                <w:sz w:val="18"/>
              </w:rPr>
              <w:t>Cerrado</w:t>
            </w:r>
          </w:p>
        </w:tc>
      </w:tr>
      <w:tr>
        <w:trPr>
          <w:cantSplit/>
        </w:trPr>
        <w:tc>
          <w:tcPr>
            <w:tcW w:type="dxa" w:w="1830"/>
            <w:vAlign w:val="center"/>
            <w:tcMar>
              <w:top w:w="75" w:type="dxa"/>
              <w:bottom w:w="75" w:type="dxa"/>
              <w:left w:w="90" w:type="dxa"/>
              <w:right w:w="90" w:type="dxa"/>
            </w:tcMar>
          </w:tcPr>
          <w:p>
            <w:pPr>
              <w:keepNext w:val="0"/>
              <w:widowControl/>
              <w:spacing w:before="0" w:after="20" w:line="240" w:lineRule="auto"/>
            </w:pPr>
            <w:r>
              <w:rPr>
                <w:b w:val="0"/>
                <w:color w:val="000000"/>
                <w:sz w:val="18"/>
              </w:rPr>
              <w:t>CC-RG-03 / 02</w:t>
            </w:r>
          </w:p>
        </w:tc>
        <w:tc>
          <w:tcPr>
            <w:tcW w:type="dxa" w:w="4778"/>
            <w:vAlign w:val="center"/>
            <w:tcMar>
              <w:top w:w="75" w:type="dxa"/>
              <w:bottom w:w="75" w:type="dxa"/>
              <w:left w:w="90" w:type="dxa"/>
              <w:right w:w="90" w:type="dxa"/>
            </w:tcMar>
          </w:tcPr>
          <w:p>
            <w:pPr>
              <w:keepNext w:val="0"/>
              <w:widowControl/>
              <w:spacing w:before="0" w:after="20" w:line="240" w:lineRule="auto"/>
            </w:pPr>
            <w:r>
              <w:rPr>
                <w:b w:val="0"/>
                <w:color w:val="000000"/>
                <w:sz w:val="18"/>
              </w:rPr>
              <w:t>Montaje liberación y posventa PRJ 005</w:t>
            </w:r>
          </w:p>
        </w:tc>
        <w:tc>
          <w:tcPr>
            <w:tcW w:type="dxa" w:w="162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2025-10-03</w:t>
            </w:r>
          </w:p>
        </w:tc>
        <w:tc>
          <w:tcPr>
            <w:tcW w:type="dxa" w:w="1932"/>
            <w:vAlign w:val="center"/>
            <w:tcMar>
              <w:top w:w="75" w:type="dxa"/>
              <w:bottom w:w="75" w:type="dxa"/>
              <w:left w:w="90" w:type="dxa"/>
              <w:right w:w="90" w:type="dxa"/>
            </w:tcMar>
          </w:tcPr>
          <w:p>
            <w:pPr>
              <w:keepNext w:val="0"/>
              <w:widowControl/>
              <w:spacing w:before="0" w:after="20" w:line="240" w:lineRule="auto"/>
            </w:pPr>
            <w:r>
              <w:rPr>
                <w:b w:val="0"/>
                <w:color w:val="000000"/>
                <w:sz w:val="18"/>
              </w:rPr>
              <w:t>Cerrado</w:t>
            </w:r>
          </w:p>
        </w:tc>
      </w:tr>
      <w:tr>
        <w:trPr>
          <w:cantSplit/>
        </w:trPr>
        <w:tc>
          <w:tcPr>
            <w:tcW w:type="dxa" w:w="1830"/>
            <w:vAlign w:val="center"/>
            <w:tcMar>
              <w:top w:w="75" w:type="dxa"/>
              <w:bottom w:w="75" w:type="dxa"/>
              <w:left w:w="90" w:type="dxa"/>
              <w:right w:w="90" w:type="dxa"/>
            </w:tcMar>
          </w:tcPr>
          <w:p>
            <w:pPr>
              <w:keepNext w:val="0"/>
              <w:widowControl/>
              <w:spacing w:before="0" w:after="20" w:line="240" w:lineRule="auto"/>
            </w:pPr>
            <w:r>
              <w:rPr>
                <w:b w:val="0"/>
                <w:color w:val="000000"/>
                <w:sz w:val="18"/>
              </w:rPr>
              <w:t>CC-RG-04 / 02</w:t>
            </w:r>
          </w:p>
        </w:tc>
        <w:tc>
          <w:tcPr>
            <w:tcW w:type="dxa" w:w="4778"/>
            <w:vAlign w:val="center"/>
            <w:tcMar>
              <w:top w:w="75" w:type="dxa"/>
              <w:bottom w:w="75" w:type="dxa"/>
              <w:left w:w="90" w:type="dxa"/>
              <w:right w:w="90" w:type="dxa"/>
            </w:tcMar>
          </w:tcPr>
          <w:p>
            <w:pPr>
              <w:keepNext w:val="0"/>
              <w:widowControl/>
              <w:spacing w:before="0" w:after="20" w:line="240" w:lineRule="auto"/>
            </w:pPr>
            <w:r>
              <w:rPr>
                <w:b w:val="0"/>
                <w:color w:val="000000"/>
                <w:sz w:val="18"/>
              </w:rPr>
              <w:t>Auditoría interna y seguimiento de acciones</w:t>
            </w:r>
          </w:p>
        </w:tc>
        <w:tc>
          <w:tcPr>
            <w:tcW w:type="dxa" w:w="162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2025-12-18</w:t>
            </w:r>
          </w:p>
        </w:tc>
        <w:tc>
          <w:tcPr>
            <w:tcW w:type="dxa" w:w="1932"/>
            <w:vAlign w:val="center"/>
            <w:tcMar>
              <w:top w:w="75" w:type="dxa"/>
              <w:bottom w:w="75" w:type="dxa"/>
              <w:left w:w="90" w:type="dxa"/>
              <w:right w:w="90" w:type="dxa"/>
            </w:tcMar>
          </w:tcPr>
          <w:p>
            <w:pPr>
              <w:keepNext w:val="0"/>
              <w:widowControl/>
              <w:spacing w:before="0" w:after="20" w:line="240" w:lineRule="auto"/>
            </w:pPr>
            <w:r>
              <w:rPr>
                <w:b w:val="0"/>
                <w:color w:val="000000"/>
                <w:sz w:val="18"/>
              </w:rPr>
              <w:t>Seguimiento abierto</w:t>
            </w:r>
          </w:p>
        </w:tc>
      </w:tr>
      <w:tr>
        <w:trPr>
          <w:cantSplit/>
        </w:trPr>
        <w:tc>
          <w:tcPr>
            <w:tcW w:type="dxa" w:w="1830"/>
            <w:vAlign w:val="center"/>
            <w:tcMar>
              <w:top w:w="75" w:type="dxa"/>
              <w:bottom w:w="75" w:type="dxa"/>
              <w:left w:w="90" w:type="dxa"/>
              <w:right w:w="90" w:type="dxa"/>
            </w:tcMar>
          </w:tcPr>
          <w:p>
            <w:pPr>
              <w:keepNext w:val="0"/>
              <w:widowControl/>
              <w:spacing w:before="0" w:after="20" w:line="240" w:lineRule="auto"/>
            </w:pPr>
            <w:r>
              <w:rPr>
                <w:b w:val="0"/>
                <w:color w:val="000000"/>
                <w:sz w:val="18"/>
              </w:rPr>
              <w:t>CC-RG-05 / 03</w:t>
            </w:r>
          </w:p>
        </w:tc>
        <w:tc>
          <w:tcPr>
            <w:tcW w:type="dxa" w:w="4778"/>
            <w:vAlign w:val="center"/>
            <w:tcMar>
              <w:top w:w="75" w:type="dxa"/>
              <w:bottom w:w="75" w:type="dxa"/>
              <w:left w:w="90" w:type="dxa"/>
              <w:right w:w="90" w:type="dxa"/>
            </w:tcMar>
          </w:tcPr>
          <w:p>
            <w:pPr>
              <w:keepNext w:val="0"/>
              <w:widowControl/>
              <w:spacing w:before="0" w:after="20" w:line="240" w:lineRule="auto"/>
            </w:pPr>
            <w:r>
              <w:rPr>
                <w:b w:val="0"/>
                <w:color w:val="000000"/>
                <w:sz w:val="18"/>
              </w:rPr>
              <w:t>Formación y equipos de seguimiento</w:t>
            </w:r>
          </w:p>
        </w:tc>
        <w:tc>
          <w:tcPr>
            <w:tcW w:type="dxa" w:w="162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2025-12-18</w:t>
            </w:r>
          </w:p>
        </w:tc>
        <w:tc>
          <w:tcPr>
            <w:tcW w:type="dxa" w:w="1932"/>
            <w:vAlign w:val="center"/>
            <w:tcMar>
              <w:top w:w="75" w:type="dxa"/>
              <w:bottom w:w="75" w:type="dxa"/>
              <w:left w:w="90" w:type="dxa"/>
              <w:right w:w="90" w:type="dxa"/>
            </w:tcMar>
          </w:tcPr>
          <w:p>
            <w:pPr>
              <w:keepNext w:val="0"/>
              <w:widowControl/>
              <w:spacing w:before="0" w:after="20" w:line="240" w:lineRule="auto"/>
            </w:pPr>
            <w:r>
              <w:rPr>
                <w:b w:val="0"/>
                <w:color w:val="000000"/>
                <w:sz w:val="18"/>
              </w:rPr>
              <w:t>Vigente</w:t>
            </w:r>
          </w:p>
        </w:tc>
      </w:tr>
      <w:tr>
        <w:trPr>
          <w:cantSplit/>
        </w:trPr>
        <w:tc>
          <w:tcPr>
            <w:tcW w:type="dxa" w:w="1830"/>
            <w:vAlign w:val="center"/>
            <w:tcMar>
              <w:top w:w="75" w:type="dxa"/>
              <w:bottom w:w="75" w:type="dxa"/>
              <w:left w:w="90" w:type="dxa"/>
              <w:right w:w="90" w:type="dxa"/>
            </w:tcMar>
          </w:tcPr>
          <w:p>
            <w:pPr>
              <w:keepNext w:val="0"/>
              <w:widowControl/>
              <w:spacing w:before="0" w:after="20" w:line="240" w:lineRule="auto"/>
            </w:pPr>
            <w:r>
              <w:rPr>
                <w:b w:val="0"/>
                <w:color w:val="000000"/>
                <w:sz w:val="18"/>
              </w:rPr>
              <w:t>CC-FO-01 / 03</w:t>
            </w:r>
          </w:p>
        </w:tc>
        <w:tc>
          <w:tcPr>
            <w:tcW w:type="dxa" w:w="4778"/>
            <w:vAlign w:val="center"/>
            <w:tcMar>
              <w:top w:w="75" w:type="dxa"/>
              <w:bottom w:w="75" w:type="dxa"/>
              <w:left w:w="90" w:type="dxa"/>
              <w:right w:w="90" w:type="dxa"/>
            </w:tcMar>
          </w:tcPr>
          <w:p>
            <w:pPr>
              <w:keepNext w:val="0"/>
              <w:widowControl/>
              <w:spacing w:before="0" w:after="20" w:line="240" w:lineRule="auto"/>
            </w:pPr>
            <w:r>
              <w:rPr>
                <w:b w:val="0"/>
                <w:color w:val="000000"/>
                <w:sz w:val="18"/>
              </w:rPr>
              <w:t>Solicitud de cambio y liberación</w:t>
            </w:r>
          </w:p>
        </w:tc>
        <w:tc>
          <w:tcPr>
            <w:tcW w:type="dxa" w:w="162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2025-06-02</w:t>
            </w:r>
          </w:p>
        </w:tc>
        <w:tc>
          <w:tcPr>
            <w:tcW w:type="dxa" w:w="1932"/>
            <w:vAlign w:val="center"/>
            <w:tcMar>
              <w:top w:w="75" w:type="dxa"/>
              <w:bottom w:w="75" w:type="dxa"/>
              <w:left w:w="90" w:type="dxa"/>
              <w:right w:w="90" w:type="dxa"/>
            </w:tcMar>
          </w:tcPr>
          <w:p>
            <w:pPr>
              <w:keepNext w:val="0"/>
              <w:widowControl/>
              <w:spacing w:before="0" w:after="20" w:line="240" w:lineRule="auto"/>
            </w:pPr>
            <w:r>
              <w:rPr>
                <w:b w:val="0"/>
                <w:color w:val="000000"/>
                <w:sz w:val="18"/>
              </w:rPr>
              <w:t>Vigente</w:t>
            </w:r>
          </w:p>
        </w:tc>
      </w:tr>
      <w:tr>
        <w:trPr>
          <w:cantSplit/>
        </w:trPr>
        <w:tc>
          <w:tcPr>
            <w:tcW w:type="dxa" w:w="1830"/>
            <w:vAlign w:val="center"/>
            <w:tcMar>
              <w:top w:w="75" w:type="dxa"/>
              <w:bottom w:w="75" w:type="dxa"/>
              <w:left w:w="90" w:type="dxa"/>
              <w:right w:w="90" w:type="dxa"/>
            </w:tcMar>
          </w:tcPr>
          <w:p>
            <w:pPr>
              <w:keepNext w:val="0"/>
              <w:widowControl/>
              <w:spacing w:before="0" w:after="20" w:line="240" w:lineRule="auto"/>
            </w:pPr>
            <w:r>
              <w:rPr>
                <w:b w:val="0"/>
                <w:color w:val="000000"/>
                <w:sz w:val="18"/>
              </w:rPr>
              <w:t>CC-FO-02 / 04</w:t>
            </w:r>
          </w:p>
        </w:tc>
        <w:tc>
          <w:tcPr>
            <w:tcW w:type="dxa" w:w="4778"/>
            <w:vAlign w:val="center"/>
            <w:tcMar>
              <w:top w:w="75" w:type="dxa"/>
              <w:bottom w:w="75" w:type="dxa"/>
              <w:left w:w="90" w:type="dxa"/>
              <w:right w:w="90" w:type="dxa"/>
            </w:tcMar>
          </w:tcPr>
          <w:p>
            <w:pPr>
              <w:keepNext w:val="0"/>
              <w:widowControl/>
              <w:spacing w:before="0" w:after="20" w:line="240" w:lineRule="auto"/>
            </w:pPr>
            <w:r>
              <w:rPr>
                <w:b w:val="0"/>
                <w:color w:val="000000"/>
                <w:sz w:val="18"/>
              </w:rPr>
              <w:t>Reporte de no conformidad</w:t>
            </w:r>
          </w:p>
        </w:tc>
        <w:tc>
          <w:tcPr>
            <w:tcW w:type="dxa" w:w="162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2025-07-01</w:t>
            </w:r>
          </w:p>
        </w:tc>
        <w:tc>
          <w:tcPr>
            <w:tcW w:type="dxa" w:w="1932"/>
            <w:vAlign w:val="center"/>
            <w:tcMar>
              <w:top w:w="75" w:type="dxa"/>
              <w:bottom w:w="75" w:type="dxa"/>
              <w:left w:w="90" w:type="dxa"/>
              <w:right w:w="90" w:type="dxa"/>
            </w:tcMar>
          </w:tcPr>
          <w:p>
            <w:pPr>
              <w:keepNext w:val="0"/>
              <w:widowControl/>
              <w:spacing w:before="0" w:after="20" w:line="240" w:lineRule="auto"/>
            </w:pPr>
            <w:r>
              <w:rPr>
                <w:b w:val="0"/>
                <w:color w:val="000000"/>
                <w:sz w:val="18"/>
              </w:rPr>
              <w:t>Vigente</w:t>
            </w:r>
          </w:p>
        </w:tc>
      </w:tr>
      <w:tr>
        <w:trPr>
          <w:cantSplit/>
        </w:trPr>
        <w:tc>
          <w:tcPr>
            <w:tcW w:type="dxa" w:w="1830"/>
            <w:vAlign w:val="center"/>
            <w:tcMar>
              <w:top w:w="75" w:type="dxa"/>
              <w:bottom w:w="75" w:type="dxa"/>
              <w:left w:w="90" w:type="dxa"/>
              <w:right w:w="90" w:type="dxa"/>
            </w:tcMar>
          </w:tcPr>
          <w:p>
            <w:pPr>
              <w:keepNext w:val="0"/>
              <w:widowControl/>
              <w:spacing w:before="0" w:after="20" w:line="240" w:lineRule="auto"/>
            </w:pPr>
            <w:r>
              <w:rPr>
                <w:b w:val="0"/>
                <w:color w:val="000000"/>
                <w:sz w:val="18"/>
              </w:rPr>
              <w:t>CC-AC-01 / 01</w:t>
            </w:r>
          </w:p>
        </w:tc>
        <w:tc>
          <w:tcPr>
            <w:tcW w:type="dxa" w:w="4778"/>
            <w:vAlign w:val="center"/>
            <w:tcMar>
              <w:top w:w="75" w:type="dxa"/>
              <w:bottom w:w="75" w:type="dxa"/>
              <w:left w:w="90" w:type="dxa"/>
              <w:right w:w="90" w:type="dxa"/>
            </w:tcMar>
          </w:tcPr>
          <w:p>
            <w:pPr>
              <w:keepNext w:val="0"/>
              <w:widowControl/>
              <w:spacing w:before="0" w:after="20" w:line="240" w:lineRule="auto"/>
            </w:pPr>
            <w:r>
              <w:rPr>
                <w:b w:val="0"/>
                <w:color w:val="000000"/>
                <w:sz w:val="18"/>
              </w:rPr>
              <w:t>Revisión por la dirección diciembre 2025</w:t>
            </w:r>
          </w:p>
        </w:tc>
        <w:tc>
          <w:tcPr>
            <w:tcW w:type="dxa" w:w="162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2025-12-15</w:t>
            </w:r>
          </w:p>
        </w:tc>
        <w:tc>
          <w:tcPr>
            <w:tcW w:type="dxa" w:w="1932"/>
            <w:vAlign w:val="center"/>
            <w:tcMar>
              <w:top w:w="75" w:type="dxa"/>
              <w:bottom w:w="75" w:type="dxa"/>
              <w:left w:w="90" w:type="dxa"/>
              <w:right w:w="90" w:type="dxa"/>
            </w:tcMar>
          </w:tcPr>
          <w:p>
            <w:pPr>
              <w:keepNext w:val="0"/>
              <w:widowControl/>
              <w:spacing w:before="0" w:after="20" w:line="240" w:lineRule="auto"/>
            </w:pPr>
            <w:r>
              <w:rPr>
                <w:b w:val="0"/>
                <w:color w:val="000000"/>
                <w:sz w:val="18"/>
              </w:rPr>
              <w:t>Vigente</w:t>
            </w:r>
          </w:p>
        </w:tc>
      </w:tr>
    </w:tbl>
    <w:p>
      <w:pPr>
        <w:spacing w:after="20" w:before="0" w:line="240" w:lineRule="auto"/>
      </w:pPr>
      <w:r>
        <w:rPr>
          <w:sz w:val="4"/>
        </w:rPr>
      </w:r>
    </w:p>
    <w:p>
      <w:pPr>
        <w:pStyle w:val="Heading1"/>
      </w:pPr>
      <w:r>
        <w:t>Listado y responsables</w:t>
      </w:r>
    </w:p>
    <w:p>
      <w:r>
        <w:t>Este listado CC-LM-01, revisión 01 de 2025-12-31, también forma parte del expediente. Ricardo Muñoz administra su actualización y Valentina Ríos aprueba el cierre del conjunto. El propietario que aparece en cada documento es responsable de solicitar cambios y comunicar su aplicación.</w:t>
      </w:r>
    </w:p>
    <w:p>
      <w:r>
        <w:t>Una referencia antigua puede aparecer en un registro histórico y se conserva literalmente. La revisión vigente se consulta en este listado, sin reescribir la evidencia de lo que la persona utilizó. Las limitaciones y documentos externos no incluidos permanecen expresamente indicados en cada expediente.</w:t>
      </w:r>
    </w:p>
    <w:p>
      <w:pPr>
        <w:pStyle w:val="Heading1"/>
      </w:pPr>
      <w:r>
        <w:t>Documentos relacionados</w:t>
      </w:r>
    </w:p>
    <w:p>
      <w:r>
        <w:t>CC-PR-01</w:t>
      </w:r>
    </w:p>
    <w:p>
      <w:pPr>
        <w:pStyle w:val="Heading1"/>
      </w:pPr>
      <w:r>
        <w:t>Historial de cambios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43"/>
        <w:gridCol w:w="4270"/>
        <w:gridCol w:w="3253"/>
      </w:tblGrid>
      <w:tr>
        <w:trPr>
          <w:tblHeader w:val="true"/>
          <w:cantSplit/>
        </w:trPr>
        <w:tc>
          <w:tcPr>
            <w:tcW w:type="dxa" w:w="264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Revisión</w:t>
            </w:r>
          </w:p>
        </w:tc>
        <w:tc>
          <w:tcPr>
            <w:tcW w:type="dxa" w:w="427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Fecha</w:t>
            </w:r>
          </w:p>
        </w:tc>
        <w:tc>
          <w:tcPr>
            <w:tcW w:type="dxa" w:w="325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Cambio registrado</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01</w:t>
            </w:r>
          </w:p>
        </w:tc>
        <w:tc>
          <w:tcPr>
            <w:tcW w:type="dxa" w:w="4270"/>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2025-12-31</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Consolidación del expediente al cierre de 2025.</w:t>
            </w:r>
          </w:p>
        </w:tc>
      </w:tr>
    </w:tbl>
    <w:p>
      <w:pPr>
        <w:spacing w:after="20" w:before="0" w:line="240" w:lineRule="auto"/>
      </w:pPr>
      <w:r>
        <w:rPr>
          <w:sz w:val="4"/>
        </w:rPr>
      </w:r>
    </w:p>
    <w:sectPr w:rsidR="00FC693F" w:rsidRPr="0006063C" w:rsidSect="00034616">
      <w:headerReference w:type="default" r:id="rId9"/>
      <w:footerReference w:type="default" r:id="rId10"/>
      <w:pgSz w:w="12240" w:h="15840"/>
      <w:pgMar w:top="950" w:right="1037" w:bottom="965" w:left="1037" w:header="374"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color w:val="505050"/>
        <w:sz w:val="16"/>
      </w:rPr>
      <w:t xml:space="preserve">Expediente ficticio para pruebas  |  CC-SGC-2025 CONSOLIDADO  |  </w:t>
    </w:r>
    <w:r>
      <w:rPr>
        <w:rFonts w:ascii="Liberation Sans" w:hAnsi="Liberation Sans"/>
        <w:color w:val="505050"/>
        <w:sz w:val="16"/>
      </w:rPr>
    </w:r>
    <w:fldSimple w:instr="PAGE">
      <w:r>
        <w:rPr>
          <w:rFonts w:ascii="Liberation Sans" w:hAnsi="Liberation Sans"/>
          <w:sz w:val="16"/>
          <w:color w:val="505050"/>
        </w:rPr>
        <w:t>1</w:t>
      </w:r>
    </w:fldSimple>
    <w:r>
      <w:rPr>
        <w:rFonts w:ascii="Liberation Sans" w:hAnsi="Liberation Sans"/>
        <w:color w:val="505050"/>
        <w:sz w:val="16"/>
      </w:rPr>
      <w:t xml:space="preserve"> / </w:t>
    </w:r>
    <w:r>
      <w:rPr>
        <w:rFonts w:ascii="Liberation Sans" w:hAnsi="Liberation Sans"/>
        <w:color w:val="505050"/>
        <w:sz w:val="16"/>
      </w:rPr>
    </w:r>
    <w:fldSimple w:instr="NUMPAGES">
      <w:r>
        <w:rPr>
          <w:rFonts w:ascii="Liberation Sans" w:hAnsi="Liberation Sans"/>
          <w:sz w:val="16"/>
          <w:color w:val="505050"/>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Liberation Sans" w:hAnsi="Liberation Sans"/>
        <w:color w:val="000000"/>
        <w:sz w:val="16"/>
      </w:rPr>
      <w:t>COMPANY CO S.A.S.    SISTEMA DE GESTIÓN DE LA CALIDAD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4" w:lineRule="auto"/>
    </w:pPr>
    <w:rPr>
      <w:rFonts w:ascii="Liberation Sans" w:hAnsi="Liberation Sans" w:eastAsia="Liberation Sans"/>
      <w:color w:val="000000"/>
      <w:sz w:val="21"/>
      <w:lang w:val="es-C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Liberation Sans" w:hAnsi="Liberation Sans" w:eastAsia="Liberation San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Liberation Sans" w:hAnsi="Liberation Sans" w:eastAsia="Liberation San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Liberation Sans" w:hAnsi="Liberation Sans" w:eastAsia="Liberation San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Liberation Sans" w:hAnsi="Liberation Sans" w:eastAsia="Liberation Sans"/>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eastAsia="Liberation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Liberation Sans" w:hAnsi="Liberation Sans" w:eastAsia="Liberation Sans"/>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Liberation Sans" w:hAnsi="Liberation Sans" w:eastAsia="Liberation Sans"/>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Liberation Sans" w:hAnsi="Liberation Sans" w:eastAsia="Liberation Sans"/>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Liberation Sans" w:hAnsi="Liberation Sans" w:eastAsia="Liberation Sans"/>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Expediente del sistema de calidad de Company Co</dc:title>
  <dc:subject>Conjunto sintético de pruebas de importación documental</dc:subject>
  <dc:creator>Company Co - escenario ficticio</dc:creator>
  <cp:keywords>Company Co; SGC; simulación; ISO 9001; 2025</cp:keywords>
  <dc:description>generated by python-docx</dc:description>
  <cp:lastModifiedBy/>
  <cp:revision>1</cp:revision>
  <dcterms:created xsi:type="dcterms:W3CDTF">2026-10-23T12:00:00Z</dcterms:created>
  <dcterms:modified xsi:type="dcterms:W3CDTF">2026-10-23T12:00:00Z</dcterms:modified>
  <cp:category/>
</cp:coreProperties>
</file>