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3" Type="http://schemas.openxmlformats.org/package/2006/relationships/metadata/core-properties" Target="docProps/core.xml"></Relationship><Relationship Id="rId4" Type="http://schemas.openxmlformats.org/officeDocument/2006/relationships/extended-properties" Target="docProps/app.xml"></Relationship><Relationship Id="rId1" Type="http://schemas.openxmlformats.org/officeDocument/2006/relationships/officeDocument" Target="word/document.xml"></Relationship><Relationship Id="rId2" Type="http://schemas.openxmlformats.org/package/2006/relationships/metadata/thumbnail" Target="docProps/thumbnail.jpeg"></Relationship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m="http://schemas.openxmlformats.org/officeDocument/2006/math" mc:Ignorable="w14 wp14 w15">
  <w:body>
    <w:p>
      <w:pPr>
        <w:spacing w:before="120" w:after="120" w:line="288" w:lineRule="auto"/>
        <w:jc w:val="center"/>
      </w:pPr>
      <w:r>
        <w:rPr>
          <w:rFonts w:eastAsia="等线" w:ascii="Arial" w:hAnsi="等线" w:cs="等线"/>
          <w:b w:val="true"/>
          <w:color w:val="000000"/>
          <w:sz w:val="50"/>
        </w:rPr>
        <w:t>RPI 占有欲指数产品方案 (PRD)</w:t>
      </w:r>
    </w:p>
    <w:p>
      <w:pPr>
        <w:spacing w:before="120" w:after="120" w:line="288" w:lineRule="auto"/>
        <w:jc w:val="center"/>
      </w:pPr>
      <w:r>
        <w:rPr>
          <w:rFonts w:eastAsia="等线" w:ascii="Arial" w:hAnsi="等线" w:cs="等线"/>
          <w:color w:val="000000"/>
          <w:sz w:val="22"/>
        </w:rPr>
        <w:t>面向产品与工程团队的详细落地文档：从科学模型到代码实现</w:t>
      </w:r>
    </w:p>
    <w:p>
      <w:pPr>
        <w:spacing w:before="380" w:after="140" w:line="288" w:lineRule="auto"/>
      </w:pPr>
      <w:r>
        <w:rPr>
          <w:rFonts w:eastAsia="等线" w:ascii="等线" w:hAnsi="等线" w:cs="等线"/>
          <w:b w:val="true"/>
          <w:color w:val="2355EF"/>
          <w:sz w:val="36"/>
        </w:rPr>
        <w:t xml:space="preserve">1. </w:t>
      </w:r>
      <w:r>
        <w:rPr>
          <w:rFonts w:eastAsia="等线" w:ascii="Arial" w:hAnsi="等线" w:cs="等线"/>
          <w:b w:val="true"/>
          <w:color w:val="000000"/>
          <w:sz w:val="36"/>
        </w:rPr>
        <w:t>产品概述与目标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1.1 产品背景</w:t>
      </w:r>
      <w:r>
        <w:rPr>
          <w:rFonts w:eastAsia="等线" w:ascii="Arial" w:hAnsi="等线" w:cs="等线"/>
          <w:color w:val="000000"/>
          <w:sz w:val="22"/>
        </w:rPr>
        <w:t>在当代亲密关系中，"占有欲"是一个高频且敏感的话题。适度的占有欲体现了依恋与排他性，但过度的控制欲与病理性嫉妒（Pathological Jealousy）则可能发展为心理暴力甚至"亲密关系恐怖主义"（Intimate Terrorism）。目前的市场痛点在于：大众缺乏科学工具来区分"爱"与"控制"，常将极端的监控行为浪漫化，或在遭受隐形攻击时缺乏觉察。RPI（Romantic Possessiveness Index）旨在通过量化评估，帮助用户识别关系中的</w:t>
      </w:r>
      <w:r>
        <w:rPr>
          <w:rFonts w:eastAsia="等线" w:ascii="Arial" w:hAnsi="等线" w:cs="等线"/>
          <w:color w:val="DC2626"/>
          <w:sz w:val="22"/>
        </w:rPr>
        <w:t>权力失衡</w:t>
      </w:r>
      <w:r>
        <w:rPr>
          <w:rFonts w:eastAsia="等线" w:ascii="Arial" w:hAnsi="等线" w:cs="等线"/>
          <w:color w:val="000000"/>
          <w:sz w:val="22"/>
        </w:rPr>
        <w:t>与</w:t>
      </w:r>
      <w:r>
        <w:rPr>
          <w:rFonts w:eastAsia="等线" w:ascii="Arial" w:hAnsi="等线" w:cs="等线"/>
          <w:color w:val="DC2626"/>
          <w:sz w:val="22"/>
        </w:rPr>
        <w:t>依恋焦虑</w:t>
      </w:r>
      <w:r>
        <w:rPr>
          <w:rFonts w:eastAsia="等线" w:ascii="Arial" w:hAnsi="等线" w:cs="等线"/>
          <w:color w:val="000000"/>
          <w:sz w:val="22"/>
        </w:rPr>
        <w:t>。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1.2 核心价值主张</w:t>
      </w:r>
    </w:p>
    <w:tbl>
      <w:tblPr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4"/>
        <w:gridCol w:w="2764"/>
        <w:gridCol w:w="2764"/>
      </w:tblGrid>
      <w:tr>
        <w:trPr/>
        <w:tc>
          <w:tcPr>
            <w:tcW w:w="2764" w:type="dxa"/>
            <w:shd w:val="clear" w:color="auto" w:fill="FFFFFF"/>
          </w:tcPr>
          <w:tbl>
            <w:tblPr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2764"/>
            </w:tblGrid>
            <w:tr>
              <w:trPr/>
              <w:tc>
                <w:tcPr>
                  <w:tcW w:w="2764" w:type="dxa"/>
                  <w:shd w:val="clear" w:color="auto" w:fill="FFFFFF"/>
                </w:tcPr>
                <w:p>
                  <w:pPr>
                    <w:spacing w:before="30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30"/>
                    </w:rPr>
                    <w:t>科学量化</w:t>
                  </w:r>
                </w:p>
                <w:p>
                  <w:pPr>
                    <w:spacing w:before="120" w:after="120" w:line="288" w:lineRule="auto"/>
                  </w:pP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>基于</w:t>
                  </w:r>
                  <w:hyperlink xmlns:relationships="http://schemas.openxmlformats.org/officeDocument/2006/relationships" relationships:id="rId9">
                    <w:r>
                      <w:rPr>
                        <w:rStyle w:val="Hyperlink"/>
                        <w:rFonts w:eastAsia="等线" w:ascii="Arial" w:hAnsi="等线" w:cs="等线"/>
                        <w:color w:val="0563C1"/>
                        <w:sz w:val="22"/>
                        <w:u w:val="single"/>
                      </w:rPr>
                      <w:t>MJS 多维嫉妒量表</w:t>
                    </w:r>
                  </w:hyperlink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>与依恋理论，将模糊的"感觉"转化为 4 个维度的具体分值。</w:t>
                  </w:r>
                </w:p>
              </w:tc>
            </w:tr>
          </w:tbl>
          <w:p/>
        </w:tc>
        <w:tc>
          <w:tcPr>
            <w:tcW w:w="2764" w:type="dxa"/>
            <w:shd w:val="clear" w:color="auto" w:fill="FFFFFF"/>
          </w:tcPr>
          <w:tbl>
            <w:tblPr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2764"/>
            </w:tblGrid>
            <w:tr>
              <w:trPr/>
              <w:tc>
                <w:tcPr>
                  <w:tcW w:w="2764" w:type="dxa"/>
                  <w:shd w:val="clear" w:color="auto" w:fill="FFFFFF"/>
                </w:tcPr>
                <w:p>
                  <w:pPr>
                    <w:spacing w:before="30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30"/>
                    </w:rPr>
                    <w:t>双视角洞察</w:t>
                  </w:r>
                </w:p>
                <w:p>
                  <w:pPr>
                    <w:spacing w:before="120" w:after="120" w:line="288" w:lineRule="auto"/>
                  </w:pP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>支持"自测"与"他测"（为伴侣测），对比自我认知与伴侣视角的偏差，作为沟通的破冰工具。</w:t>
                  </w:r>
                </w:p>
              </w:tc>
            </w:tr>
          </w:tbl>
          <w:p/>
        </w:tc>
        <w:tc>
          <w:tcPr>
            <w:tcW w:w="2764" w:type="dxa"/>
            <w:shd w:val="clear" w:color="auto" w:fill="FFFFFF"/>
          </w:tcPr>
          <w:tbl>
            <w:tblPr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2764"/>
            </w:tblGrid>
            <w:tr>
              <w:trPr/>
              <w:tc>
                <w:tcPr>
                  <w:tcW w:w="2764" w:type="dxa"/>
                  <w:shd w:val="clear" w:color="auto" w:fill="FFFFFF"/>
                </w:tcPr>
                <w:p>
                  <w:pPr>
                    <w:spacing w:before="30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30"/>
                    </w:rPr>
                    <w:t>隐私安全</w:t>
                  </w:r>
                </w:p>
                <w:p>
                  <w:pPr>
                    <w:spacing w:before="120" w:after="120" w:line="288" w:lineRule="auto"/>
                  </w:pP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>承诺"本地计算优先"，敏感数据不上传，消除用户对于将私密关系数据暴露给云端的顾虑。</w:t>
                  </w:r>
                </w:p>
              </w:tc>
            </w:tr>
          </w:tbl>
          <w:p/>
        </w:tc>
      </w:tr>
    </w:tbl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1.3 核心人群画像</w:t>
      </w:r>
    </w:p>
    <w:tbl>
      <w:tblPr>
        <w:tblBorders>
          <w:top w:val="single" w:color="BBBFC4" w:space="0" w:sz="4"/>
          <w:left w:val="single" w:color="BBBFC4" w:space="0" w:sz="4"/>
          <w:bottom w:val="single" w:color="BBBFC4" w:space="0" w:sz="4"/>
          <w:right w:val="single" w:color="BBBFC4" w:space="0" w:sz="4"/>
          <w:insideH w:val="single" w:color="BBBFC4" w:space="0" w:sz="4"/>
          <w:insideV w:val="single" w:color="BBBFC4" w:space="0" w:sz="4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764"/>
        <w:gridCol w:w="2764"/>
        <w:gridCol w:w="2764"/>
      </w:tblGrid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用户代号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典型场景/痛点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核心诉求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焦虑者 Alice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总忍不住查岗、翻手机，事后又自责。"我是不是病了？我是不是太作了？"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寻求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正常化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（我不是疯子）与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边界确认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（哪些行为确实越界了）。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受困者 Bob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感到窒息，伴侣以"因为爱你才管你"为由进行限制。不敢直接反抗。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寻求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客观证据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（第三方评分），用于向伴侣证明"这不正常"，或作为分手的决心支撑。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探索者 Gary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关系稳定，但在某个吵架后想复盘。"我们的依恋模式匹配吗？"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寻求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关系体检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，作为一种娱乐化但有深度的谈资。</w:t>
            </w:r>
          </w:p>
        </w:tc>
      </w:tr>
    </w:tbl>
    <w:p>
      <w:pPr>
        <w:spacing w:before="120" w:after="120" w:line="288" w:lineRule="auto"/>
      </w:pP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1.4 关键成功指标 (KPI)</w:t>
      </w:r>
    </w:p>
    <w:p>
      <w:pPr>
        <w:spacing w:before="380" w:after="140" w:line="288" w:lineRule="auto"/>
      </w:pPr>
      <w:r>
        <w:rPr>
          <w:rFonts w:eastAsia="等线" w:ascii="等线" w:hAnsi="等线" w:cs="等线"/>
          <w:b w:val="true"/>
          <w:color w:val="2355EF"/>
          <w:sz w:val="36"/>
        </w:rPr>
        <w:t xml:space="preserve">2. </w:t>
      </w:r>
      <w:r>
        <w:rPr>
          <w:rFonts w:eastAsia="等线" w:ascii="Arial" w:hAnsi="等线" w:cs="等线"/>
          <w:b w:val="true"/>
          <w:color w:val="000000"/>
          <w:sz w:val="36"/>
        </w:rPr>
        <w:t>竞品与市场：热门同类测评拆解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color w:val="000000"/>
          <w:sz w:val="22"/>
        </w:rPr>
        <w:t>通过对</w:t>
      </w:r>
      <w:hyperlink xmlns:relationships="http://schemas.openxmlformats.org/officeDocument/2006/relationships" relationships:id="rId10">
        <w:r>
          <w:rPr>
            <w:rStyle w:val="Hyperlink"/>
            <w:rFonts w:eastAsia="等线" w:ascii="Arial" w:hAnsi="等线" w:cs="等线"/>
            <w:color w:val="0563C1"/>
            <w:sz w:val="22"/>
            <w:u w:val="single"/>
          </w:rPr>
          <w:t>RPI Calculator</w:t>
        </w:r>
      </w:hyperlink>
      <w:r>
        <w:rPr>
          <w:rFonts w:eastAsia="等线" w:ascii="Arial" w:hAnsi="等线" w:cs="等线"/>
          <w:color w:val="000000"/>
          <w:sz w:val="22"/>
        </w:rPr>
        <w:t>、</w:t>
      </w:r>
      <w:hyperlink xmlns:relationships="http://schemas.openxmlformats.org/officeDocument/2006/relationships" relationships:id="rId11">
        <w:r>
          <w:rPr>
            <w:rStyle w:val="Hyperlink"/>
            <w:rFonts w:eastAsia="等线" w:ascii="Arial" w:hAnsi="等线" w:cs="等线"/>
            <w:color w:val="0563C1"/>
            <w:sz w:val="22"/>
            <w:u w:val="single"/>
          </w:rPr>
          <w:t>赛可心理</w:t>
        </w:r>
      </w:hyperlink>
      <w:r>
        <w:rPr>
          <w:rFonts w:eastAsia="等线" w:ascii="Arial" w:hAnsi="等线" w:cs="等线"/>
          <w:color w:val="000000"/>
          <w:sz w:val="22"/>
        </w:rPr>
        <w:t>、</w:t>
      </w:r>
      <w:hyperlink xmlns:relationships="http://schemas.openxmlformats.org/officeDocument/2006/relationships" relationships:id="rId12">
        <w:r>
          <w:rPr>
            <w:rStyle w:val="Hyperlink"/>
            <w:rFonts w:eastAsia="等线" w:ascii="Arial" w:hAnsi="等线" w:cs="等线"/>
            <w:color w:val="0563C1"/>
            <w:sz w:val="22"/>
            <w:u w:val="single"/>
          </w:rPr>
          <w:t>IDRlabs</w:t>
        </w:r>
      </w:hyperlink>
      <w:r>
        <w:rPr>
          <w:rFonts w:eastAsia="等线" w:ascii="Arial" w:hAnsi="等线" w:cs="等线"/>
          <w:color w:val="000000"/>
          <w:sz w:val="22"/>
        </w:rPr>
        <w:t>等竞品的深度调研，我们提炼出以下高转化要素与差异化机会。</w:t>
      </w:r>
    </w:p>
    <w:tbl>
      <w:tblPr>
        <w:tblBorders>
          <w:top w:val="single" w:color="BBBFC4" w:space="0" w:sz="4"/>
          <w:left w:val="single" w:color="BBBFC4" w:space="0" w:sz="4"/>
          <w:bottom w:val="single" w:color="BBBFC4" w:space="0" w:sz="4"/>
          <w:right w:val="single" w:color="BBBFC4" w:space="0" w:sz="4"/>
          <w:insideH w:val="single" w:color="BBBFC4" w:space="0" w:sz="4"/>
          <w:insideV w:val="single" w:color="BBBFC4" w:space="0" w:sz="4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78"/>
        <w:gridCol w:w="2078"/>
        <w:gridCol w:w="2068"/>
        <w:gridCol w:w="2068"/>
      </w:tblGrid>
      <w:tr>
        <w:trPr/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竞品名称</w:t>
            </w:r>
          </w:p>
        </w:tc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题量/耗时</w:t>
            </w:r>
          </w:p>
        </w:tc>
        <w:tc>
          <w:tcPr>
            <w:tcW w:w="206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核心亮点</w:t>
            </w:r>
          </w:p>
        </w:tc>
        <w:tc>
          <w:tcPr>
            <w:tcW w:w="206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局限性/机会点</w:t>
            </w:r>
          </w:p>
        </w:tc>
      </w:tr>
      <w:tr>
        <w:trPr/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RPI Calculator</w:t>
            </w:r>
          </w:p>
        </w:tc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40 题 / 10-15 分</w:t>
            </w:r>
          </w:p>
        </w:tc>
        <w:tc>
          <w:tcPr>
            <w:tcW w:w="2068" w:type="dxa"/>
            <w:shd w:val="clear" w:color="auto" w:fill="FFFFFF"/>
          </w:tcPr>
          <w:p>
            <w:pPr>
              <w:numPr>
                <w:ilvl w:val="0"/>
                <w:numId w:val="11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双视角：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明确区分"自测"与"为恋人测"。</w:t>
            </w:r>
          </w:p>
          <w:p>
            <w:pPr>
              <w:numPr>
                <w:ilvl w:val="0"/>
                <w:numId w:val="11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本地存储：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强调隐私，建立信任。</w:t>
            </w:r>
          </w:p>
          <w:p>
            <w:pPr>
              <w:numPr>
                <w:ilvl w:val="0"/>
                <w:numId w:val="11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四维度：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控制/嫉妒/依赖/不安。</w:t>
            </w:r>
          </w:p>
        </w:tc>
        <w:tc>
          <w:tcPr>
            <w:tcW w:w="206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UI 较为传统，缺乏动态交互感；建议部分较通用。</w:t>
            </w:r>
          </w:p>
        </w:tc>
      </w:tr>
      <w:tr>
        <w:trPr/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赛可心理 (PsycoTest)</w:t>
            </w:r>
          </w:p>
        </w:tc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22 题 / 3-5 分</w:t>
            </w:r>
          </w:p>
        </w:tc>
        <w:tc>
          <w:tcPr>
            <w:tcW w:w="2068" w:type="dxa"/>
            <w:shd w:val="clear" w:color="auto" w:fill="FFFFFF"/>
          </w:tcPr>
          <w:p>
            <w:pPr>
              <w:numPr>
                <w:ilvl w:val="0"/>
                <w:numId w:val="12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内容营销：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结合 MBTI 等热点引流。</w:t>
            </w:r>
          </w:p>
          <w:p>
            <w:pPr>
              <w:numPr>
                <w:ilvl w:val="0"/>
                <w:numId w:val="12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场景化：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题目描述具体生活场景（如"翻看手机"）。</w:t>
            </w:r>
          </w:p>
        </w:tc>
        <w:tc>
          <w:tcPr>
            <w:tcW w:w="206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平台化分发，干扰广告多；结果页需付费或关注解锁（部分）。</w:t>
            </w:r>
          </w:p>
        </w:tc>
      </w:tr>
      <w:tr>
        <w:trPr/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TherapyTips (Jealousy Scale)</w:t>
            </w:r>
          </w:p>
        </w:tc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9-15 题 / 短</w:t>
            </w:r>
          </w:p>
        </w:tc>
        <w:tc>
          <w:tcPr>
            <w:tcW w:w="2068" w:type="dxa"/>
            <w:shd w:val="clear" w:color="auto" w:fill="FFFFFF"/>
          </w:tcPr>
          <w:p>
            <w:pPr>
              <w:numPr>
                <w:ilvl w:val="0"/>
                <w:numId w:val="13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学术背书：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直接引用 Mark Travers 博士与 MJS 量表。</w:t>
            </w:r>
          </w:p>
          <w:p>
            <w:pPr>
              <w:numPr>
                <w:ilvl w:val="0"/>
                <w:numId w:val="13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人口学对比：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收集年龄/性别以提供对比数据。</w:t>
            </w:r>
          </w:p>
        </w:tc>
        <w:tc>
          <w:tcPr>
            <w:tcW w:w="206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仅覆盖"行为嫉妒"单一维度，缺乏全面性。</w:t>
            </w:r>
          </w:p>
        </w:tc>
      </w:tr>
      <w:tr>
        <w:trPr/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ChoosingTherapy (Toxic Quiz)</w:t>
            </w:r>
          </w:p>
        </w:tc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25 题 / 5 分</w:t>
            </w:r>
          </w:p>
        </w:tc>
        <w:tc>
          <w:tcPr>
            <w:tcW w:w="2068" w:type="dxa"/>
            <w:shd w:val="clear" w:color="auto" w:fill="FFFFFF"/>
          </w:tcPr>
          <w:p>
            <w:pPr>
              <w:numPr>
                <w:ilvl w:val="0"/>
                <w:numId w:val="14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红旗识别：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侧重识别 PUA/Gaslighting。</w:t>
            </w:r>
          </w:p>
          <w:p>
            <w:pPr>
              <w:numPr>
                <w:ilvl w:val="0"/>
                <w:numId w:val="14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危机干预：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显著的危机热线入口。</w:t>
            </w:r>
          </w:p>
        </w:tc>
        <w:tc>
          <w:tcPr>
            <w:tcW w:w="206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定性为主（是/否毒性），缺乏定量精细度。</w:t>
            </w:r>
          </w:p>
        </w:tc>
      </w:tr>
    </w:tbl>
    <w:p>
      <w:pPr>
        <w:spacing w:before="120" w:after="120" w:line="288" w:lineRule="auto"/>
      </w:pP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2.1 关键高转化组件 (Must-Haves)</w:t>
      </w:r>
      <w:r>
        <w:rPr>
          <w:rFonts w:eastAsia="等线" w:ascii="Arial" w:hAnsi="等线" w:cs="等线"/>
          <w:color w:val="000000"/>
          <w:sz w:val="22"/>
        </w:rPr>
        <w:t xml:space="preserve">根据竞品表现，本产品必须包含：
1. </w:t>
      </w:r>
      <w:r>
        <w:rPr>
          <w:rFonts w:eastAsia="等线" w:ascii="Arial" w:hAnsi="等线" w:cs="等线"/>
          <w:b w:val="true"/>
          <w:color w:val="000000"/>
          <w:sz w:val="22"/>
        </w:rPr>
        <w:t>首屏承诺：</w:t>
      </w:r>
      <w:r>
        <w:rPr>
          <w:rFonts w:eastAsia="等线" w:ascii="Arial" w:hAnsi="等线" w:cs="等线"/>
          <w:color w:val="000000"/>
          <w:sz w:val="22"/>
        </w:rPr>
        <w:t xml:space="preserve"> 明确"非医疗诊断"但"基于科学"，并前置"时长/题量"预期（降低跳出率）。
2. </w:t>
      </w:r>
      <w:r>
        <w:rPr>
          <w:rFonts w:eastAsia="等线" w:ascii="Arial" w:hAnsi="等线" w:cs="等线"/>
          <w:b w:val="true"/>
          <w:color w:val="000000"/>
          <w:sz w:val="22"/>
        </w:rPr>
        <w:t>进度反馈：</w:t>
      </w:r>
      <w:r>
        <w:rPr>
          <w:rFonts w:eastAsia="等线" w:ascii="Arial" w:hAnsi="等线" w:cs="等线"/>
          <w:color w:val="000000"/>
          <w:sz w:val="22"/>
        </w:rPr>
        <w:t xml:space="preserve"> 必须有进度条，且在完成 50% 后给予鼓励（"还剩一半，加油！"）。
3. </w:t>
      </w:r>
      <w:r>
        <w:rPr>
          <w:rFonts w:eastAsia="等线" w:ascii="Arial" w:hAnsi="等线" w:cs="等线"/>
          <w:b w:val="true"/>
          <w:color w:val="000000"/>
          <w:sz w:val="22"/>
        </w:rPr>
        <w:t>危机阻断：</w:t>
      </w:r>
      <w:r>
        <w:rPr>
          <w:rFonts w:eastAsia="等线" w:ascii="Arial" w:hAnsi="等线" w:cs="等线"/>
          <w:color w:val="000000"/>
          <w:sz w:val="22"/>
        </w:rPr>
        <w:t xml:space="preserve"> 模仿 ChoosingTherapy，在结果为"高危"时，必须弹出全屏遮罩或醒目 Banner，提供 12338/110 等求助方式。
4. </w:t>
      </w:r>
      <w:r>
        <w:rPr>
          <w:rFonts w:eastAsia="等线" w:ascii="Arial" w:hAnsi="等线" w:cs="等线"/>
          <w:b w:val="true"/>
          <w:color w:val="000000"/>
          <w:sz w:val="22"/>
        </w:rPr>
        <w:t>结果分层：</w:t>
      </w:r>
      <w:r>
        <w:rPr>
          <w:rFonts w:eastAsia="等线" w:ascii="Arial" w:hAnsi="等线" w:cs="等线"/>
          <w:color w:val="000000"/>
          <w:sz w:val="22"/>
        </w:rPr>
        <w:t xml:space="preserve"> 也就是"得分为 X 意味着什么"，不仅是数字，必须有定性标签（如"高度不安全"）。</w:t>
      </w:r>
    </w:p>
    <w:p>
      <w:pPr>
        <w:spacing w:before="380" w:after="140" w:line="288" w:lineRule="auto"/>
      </w:pPr>
      <w:r>
        <w:rPr>
          <w:rFonts w:eastAsia="等线" w:ascii="等线" w:hAnsi="等线" w:cs="等线"/>
          <w:b w:val="true"/>
          <w:color w:val="2355EF"/>
          <w:sz w:val="36"/>
        </w:rPr>
        <w:t xml:space="preserve">3. </w:t>
      </w:r>
      <w:r>
        <w:rPr>
          <w:rFonts w:eastAsia="等线" w:ascii="Arial" w:hAnsi="等线" w:cs="等线"/>
          <w:b w:val="true"/>
          <w:color w:val="000000"/>
          <w:sz w:val="36"/>
        </w:rPr>
        <w:t>科学依据与可借鉴量表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color w:val="000000"/>
          <w:sz w:val="22"/>
        </w:rPr>
        <w:t>本产品的模型设计并非凭空捏造，而是基于经典心理学量表的</w:t>
      </w:r>
      <w:r>
        <w:rPr>
          <w:rFonts w:eastAsia="等线" w:ascii="Arial" w:hAnsi="等线" w:cs="等线"/>
          <w:b w:val="true"/>
          <w:color w:val="000000"/>
          <w:sz w:val="22"/>
        </w:rPr>
        <w:t>维度重组</w:t>
      </w:r>
      <w:r>
        <w:rPr>
          <w:rFonts w:eastAsia="等线" w:ascii="Arial" w:hAnsi="等线" w:cs="等线"/>
          <w:color w:val="000000"/>
          <w:sz w:val="22"/>
        </w:rPr>
        <w:t>与</w:t>
      </w:r>
      <w:r>
        <w:rPr>
          <w:rFonts w:eastAsia="等线" w:ascii="Arial" w:hAnsi="等线" w:cs="等线"/>
          <w:b w:val="true"/>
          <w:color w:val="000000"/>
          <w:sz w:val="22"/>
        </w:rPr>
        <w:t>通俗化改编</w:t>
      </w:r>
      <w:r>
        <w:rPr>
          <w:rFonts w:eastAsia="等线" w:ascii="Arial" w:hAnsi="等线" w:cs="等线"/>
          <w:color w:val="000000"/>
          <w:sz w:val="22"/>
        </w:rPr>
        <w:t>。我们在 PRD 中明确以下理论映射，以便向用户和专业人士解释我们的科学性。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3.1 核心理论映射表</w:t>
      </w:r>
    </w:p>
    <w:tbl>
      <w:tblPr>
        <w:tblBorders>
          <w:top w:val="single" w:color="BBBFC4" w:space="0" w:sz="4"/>
          <w:left w:val="single" w:color="BBBFC4" w:space="0" w:sz="4"/>
          <w:bottom w:val="single" w:color="BBBFC4" w:space="0" w:sz="4"/>
          <w:right w:val="single" w:color="BBBFC4" w:space="0" w:sz="4"/>
          <w:insideH w:val="single" w:color="BBBFC4" w:space="0" w:sz="4"/>
          <w:insideV w:val="single" w:color="BBBFC4" w:space="0" w:sz="4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764"/>
        <w:gridCol w:w="2764"/>
        <w:gridCol w:w="2764"/>
      </w:tblGrid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RPI 产品维度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借鉴理论/学术量表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核心引用点 (Key Takeaway)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嫉妒强度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
(Jealousy)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hyperlink xmlns:relationships="http://schemas.openxmlformats.org/officeDocument/2006/relationships" relationships:id="rId13">
              <w:r>
                <w:rPr>
                  <w:rStyle w:val="Hyperlink"/>
                  <w:rFonts w:eastAsia="等线" w:ascii="Arial" w:hAnsi="等线" w:cs="等线"/>
                  <w:color w:val="0563C1"/>
                  <w:sz w:val="22"/>
                  <w:u w:val="single"/>
                </w:rPr>
                <w:t>MJS 多维嫉妒量表</w:t>
              </w:r>
            </w:hyperlink>
            <w:r>
              <w:rPr>
                <w:rFonts w:eastAsia="等线" w:ascii="Arial" w:hAnsi="等线" w:cs="等线"/>
                <w:color w:val="000000"/>
                <w:sz w:val="22"/>
              </w:rPr>
              <w:t xml:space="preserve"> (Pfeiffer &amp; Wong, 1989)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 xml:space="preserve">嫉妒不是单一情绪，必须拆解为三维：
1. 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认知：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怀疑对方背叛（"他在想别人吗？"）。
2. 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情绪：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看到对方与异性互动的生理反应（愤怒/恐惧）。
3. 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行为：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检查、质问、限制（这是最具破坏性的部分）。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关系不安全感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
(Insecurity)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hyperlink xmlns:relationships="http://schemas.openxmlformats.org/officeDocument/2006/relationships" relationships:id="rId14">
              <w:r>
                <w:rPr>
                  <w:rStyle w:val="Hyperlink"/>
                  <w:rFonts w:eastAsia="等线" w:ascii="Arial" w:hAnsi="等线" w:cs="等线"/>
                  <w:color w:val="0563C1"/>
                  <w:sz w:val="22"/>
                  <w:u w:val="single"/>
                </w:rPr>
                <w:t>ECR-R 成人依恋量表</w:t>
              </w:r>
            </w:hyperlink>
            <w:r>
              <w:rPr>
                <w:rFonts w:eastAsia="等线" w:ascii="Arial" w:hAnsi="等线" w:cs="等线"/>
                <w:color w:val="000000"/>
                <w:sz w:val="22"/>
              </w:rPr>
              <w:t xml:space="preserve"> (Fraley et al.)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借鉴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依恋焦虑 (Attachment Anxiety)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维度：
- 核心是对"被抛弃"的恐惧和对"自我价值"的怀疑（"我配不上他"）。
- 这种不安全感是控制行为的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深层驱动力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。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情感依赖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
(Dependency)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Friel Co-Dependency Inventory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借鉴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共依赖 (Co-dependency)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概念：
- 边界模糊：将伴侣的情绪视为自己的责任。
- 情绪外包：没有伴侣的安抚就无法平静。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控制欲望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
(Control)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Johnson's Intimate Terrorism Theory
Graham-Kevan &amp; Archer (2008)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区分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情境性暴力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与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亲密恐怖主义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：
- 重点在于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非暴力的强制策略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（Coercive Control）：隔离社交、经济控制、决策剥夺。这是风险评估的最关键指标。</w:t>
            </w:r>
          </w:p>
        </w:tc>
      </w:tr>
    </w:tbl>
    <w:p>
      <w:pPr>
        <w:spacing w:before="120" w:after="120" w:line="288" w:lineRule="auto"/>
      </w:pP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3.2 科学性免责声明 (Mandatory Disclaimer)</w:t>
      </w:r>
      <w:r>
        <w:rPr>
          <w:rFonts w:eastAsia="等线" w:ascii="Arial" w:hAnsi="等线" w:cs="等线"/>
          <w:color w:val="000000"/>
          <w:sz w:val="22"/>
        </w:rPr>
        <w:t>在所有涉及"依据"的页面，必须标注：</w:t>
      </w:r>
    </w:p>
    <w:p>
      <w:pPr>
        <w:spacing w:before="380" w:after="140" w:line="288" w:lineRule="auto"/>
      </w:pPr>
      <w:r>
        <w:rPr>
          <w:rFonts w:eastAsia="等线" w:ascii="等线" w:hAnsi="等线" w:cs="等线"/>
          <w:b w:val="true"/>
          <w:color w:val="2355EF"/>
          <w:sz w:val="36"/>
        </w:rPr>
        <w:t xml:space="preserve">4. </w:t>
      </w:r>
      <w:r>
        <w:rPr>
          <w:rFonts w:eastAsia="等线" w:ascii="Arial" w:hAnsi="等线" w:cs="等线"/>
          <w:b w:val="true"/>
          <w:color w:val="000000"/>
          <w:sz w:val="36"/>
        </w:rPr>
        <w:t>RPI 模型定义（产品内口径）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color w:val="000000"/>
          <w:sz w:val="22"/>
        </w:rPr>
        <w:t>为便于算法实现与用户理解，我们将上述复杂的学术理论封装为标准的</w:t>
      </w:r>
      <w:r>
        <w:rPr>
          <w:rFonts w:eastAsia="等线" w:ascii="Arial" w:hAnsi="等线" w:cs="等线"/>
          <w:b w:val="true"/>
          <w:color w:val="000000"/>
          <w:sz w:val="22"/>
        </w:rPr>
        <w:t>RPI 四维模型</w:t>
      </w:r>
      <w:r>
        <w:rPr>
          <w:rFonts w:eastAsia="等线" w:ascii="Arial" w:hAnsi="等线" w:cs="等线"/>
          <w:color w:val="000000"/>
          <w:sz w:val="22"/>
        </w:rPr>
        <w:t>。</w:t>
      </w:r>
    </w:p>
    <w:tbl>
      <w:tblPr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47"/>
        <w:gridCol w:w="4147"/>
      </w:tblGrid>
      <w:tr>
        <w:trPr/>
        <w:tc>
          <w:tcPr>
            <w:tcW w:w="4147" w:type="dxa"/>
            <w:shd w:val="clear" w:color="auto" w:fill="FFFFFF"/>
          </w:tcPr>
          <w:tbl>
            <w:tblPr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4147"/>
            </w:tblGrid>
            <w:tr>
              <w:trPr/>
              <w:tc>
                <w:tcPr>
                  <w:tcW w:w="4147" w:type="dxa"/>
                  <w:shd w:val="clear" w:color="auto" w:fill="FFFFFF"/>
                </w:tcPr>
                <w:p>
                  <w:pPr>
                    <w:spacing w:before="30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30"/>
                    </w:rPr>
                    <w:t>1. 控制欲望 (Control)</w:t>
                  </w:r>
                </w:p>
                <w:p>
                  <w:pPr>
                    <w:spacing w:before="12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定义：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试图通过限制、监控或干预来掌控伴侣行为的倾向。</w:t>
                  </w:r>
                </w:p>
                <w:p>
                  <w:pPr>
                    <w:numPr>
                      <w:ilvl w:val="0"/>
                      <w:numId w:val="15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子维度：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监控行为（查手机）、社交隔离（不许见朋友）、决策干预。</w:t>
                  </w:r>
                </w:p>
                <w:p>
                  <w:pPr>
                    <w:numPr>
                      <w:ilvl w:val="0"/>
                      <w:numId w:val="15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高分风险：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亲密关系暴力（IPV）的高预测指标。</w:t>
                  </w:r>
                </w:p>
                <w:p>
                  <w:pPr>
                    <w:numPr>
                      <w:ilvl w:val="0"/>
                      <w:numId w:val="15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默认权重：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30%（权重最高，因其危害最大）。</w:t>
                  </w:r>
                </w:p>
              </w:tc>
            </w:tr>
          </w:tbl>
          <w:p/>
        </w:tc>
        <w:tc>
          <w:tcPr>
            <w:tcW w:w="4147" w:type="dxa"/>
            <w:shd w:val="clear" w:color="auto" w:fill="FFFFFF"/>
          </w:tcPr>
          <w:tbl>
            <w:tblPr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4147"/>
            </w:tblGrid>
            <w:tr>
              <w:trPr/>
              <w:tc>
                <w:tcPr>
                  <w:tcW w:w="4147" w:type="dxa"/>
                  <w:shd w:val="clear" w:color="auto" w:fill="FFFFFF"/>
                </w:tcPr>
                <w:p>
                  <w:pPr>
                    <w:spacing w:before="30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30"/>
                    </w:rPr>
                    <w:t>2. 嫉妒强度 (Jealousy)</w:t>
                  </w:r>
                </w:p>
                <w:p>
                  <w:pPr>
                    <w:spacing w:before="12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定义：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面对真实或想象的第三方威胁时，产生的情绪与认知反应。</w:t>
                  </w:r>
                </w:p>
                <w:p>
                  <w:pPr>
                    <w:numPr>
                      <w:ilvl w:val="0"/>
                      <w:numId w:val="16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子维度：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认知怀疑（脑补出轨）、情绪爆发（吃醋愤怒）。</w:t>
                  </w:r>
                </w:p>
                <w:p>
                  <w:pPr>
                    <w:numPr>
                      <w:ilvl w:val="0"/>
                      <w:numId w:val="16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高分风险：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关系冲突、冲动行为。</w:t>
                  </w:r>
                </w:p>
                <w:p>
                  <w:pPr>
                    <w:numPr>
                      <w:ilvl w:val="0"/>
                      <w:numId w:val="16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默认权重：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25%。</w:t>
                  </w:r>
                </w:p>
              </w:tc>
            </w:tr>
          </w:tbl>
          <w:p/>
        </w:tc>
      </w:tr>
    </w:tbl>
    <w:tbl>
      <w:tblPr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47"/>
        <w:gridCol w:w="4147"/>
      </w:tblGrid>
      <w:tr>
        <w:trPr/>
        <w:tc>
          <w:tcPr>
            <w:tcW w:w="4147" w:type="dxa"/>
            <w:shd w:val="clear" w:color="auto" w:fill="FFFFFF"/>
          </w:tcPr>
          <w:tbl>
            <w:tblPr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4147"/>
            </w:tblGrid>
            <w:tr>
              <w:trPr/>
              <w:tc>
                <w:tcPr>
                  <w:tcW w:w="4147" w:type="dxa"/>
                  <w:shd w:val="clear" w:color="auto" w:fill="FFFFFF"/>
                </w:tcPr>
                <w:p>
                  <w:pPr>
                    <w:spacing w:before="30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30"/>
                    </w:rPr>
                    <w:t>3. 情感依赖 (Dependency)</w:t>
                  </w:r>
                </w:p>
                <w:p>
                  <w:pPr>
                    <w:spacing w:before="12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定义：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缺乏独立自主感，过度依附于关系来维持自我功能。</w:t>
                  </w:r>
                </w:p>
                <w:p>
                  <w:pPr>
                    <w:numPr>
                      <w:ilvl w:val="0"/>
                      <w:numId w:val="17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子维度：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独处焦虑、自我丧失、情绪同步。</w:t>
                  </w:r>
                </w:p>
                <w:p>
                  <w:pPr>
                    <w:numPr>
                      <w:ilvl w:val="0"/>
                      <w:numId w:val="17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高分风险：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窒息感、自我价值崩塌。</w:t>
                  </w:r>
                </w:p>
                <w:p>
                  <w:pPr>
                    <w:numPr>
                      <w:ilvl w:val="0"/>
                      <w:numId w:val="17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默认权重：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20%。</w:t>
                  </w:r>
                </w:p>
              </w:tc>
            </w:tr>
          </w:tbl>
          <w:p/>
        </w:tc>
        <w:tc>
          <w:tcPr>
            <w:tcW w:w="4147" w:type="dxa"/>
            <w:shd w:val="clear" w:color="auto" w:fill="FFFFFF"/>
          </w:tcPr>
          <w:tbl>
            <w:tblPr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4147"/>
            </w:tblGrid>
            <w:tr>
              <w:trPr/>
              <w:tc>
                <w:tcPr>
                  <w:tcW w:w="4147" w:type="dxa"/>
                  <w:shd w:val="clear" w:color="auto" w:fill="FFFFFF"/>
                </w:tcPr>
                <w:p>
                  <w:pPr>
                    <w:spacing w:before="30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30"/>
                    </w:rPr>
                    <w:t>4. 不安全感 (Insecurity)</w:t>
                  </w:r>
                </w:p>
                <w:p>
                  <w:pPr>
                    <w:spacing w:before="12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定义：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对关系稳定性的深层焦虑和对被抛弃的恐惧。</w:t>
                  </w:r>
                </w:p>
                <w:p>
                  <w:pPr>
                    <w:numPr>
                      <w:ilvl w:val="0"/>
                      <w:numId w:val="18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子维度：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抛弃恐惧、自我怀疑、过度敏感。</w:t>
                  </w:r>
                </w:p>
                <w:p>
                  <w:pPr>
                    <w:numPr>
                      <w:ilvl w:val="0"/>
                      <w:numId w:val="18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高分风险：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焦虑型依恋、情绪勒索。</w:t>
                  </w:r>
                </w:p>
                <w:p>
                  <w:pPr>
                    <w:numPr>
                      <w:ilvl w:val="0"/>
                      <w:numId w:val="18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默认权重：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25%。</w:t>
                  </w:r>
                </w:p>
              </w:tc>
            </w:tr>
          </w:tbl>
          <w:p/>
        </w:tc>
      </w:tr>
    </w:tbl>
    <w:p>
      <w:pPr>
        <w:spacing w:before="380" w:after="140" w:line="288" w:lineRule="auto"/>
      </w:pPr>
      <w:r>
        <w:rPr>
          <w:rFonts w:eastAsia="等线" w:ascii="等线" w:hAnsi="等线" w:cs="等线"/>
          <w:b w:val="true"/>
          <w:color w:val="2355EF"/>
          <w:sz w:val="36"/>
        </w:rPr>
        <w:t xml:space="preserve">5. </w:t>
      </w:r>
      <w:r>
        <w:rPr>
          <w:rFonts w:eastAsia="等线" w:ascii="Arial" w:hAnsi="等线" w:cs="等线"/>
          <w:b w:val="true"/>
          <w:color w:val="000000"/>
          <w:sz w:val="36"/>
        </w:rPr>
        <w:t>题库与问卷设计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color w:val="000000"/>
          <w:sz w:val="22"/>
        </w:rPr>
        <w:t>本方案采用标准的</w:t>
      </w:r>
      <w:r>
        <w:rPr>
          <w:rFonts w:eastAsia="等线" w:ascii="Arial" w:hAnsi="等线" w:cs="等线"/>
          <w:b w:val="true"/>
          <w:color w:val="000000"/>
          <w:sz w:val="22"/>
        </w:rPr>
        <w:t>JSON 结构</w:t>
      </w:r>
      <w:r>
        <w:rPr>
          <w:rFonts w:eastAsia="等线" w:ascii="Arial" w:hAnsi="等线" w:cs="等线"/>
          <w:color w:val="000000"/>
          <w:sz w:val="22"/>
        </w:rPr>
        <w:t>管理题库，便于前端直接渲染。设计包含 40 道标准题（MVP 阶段）与 12 道快速筛查题。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5.1 设计规范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5.2 题库蓝图 (JSON Schema Example)</w:t>
      </w:r>
    </w:p>
    <w:tbl>
      <w:tblPr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294"/>
      </w:tblGrid>
      <w:tr>
        <w:trPr/>
        <w:tc>
          <w:tcPr>
            <w:tcW w:w="8294" w:type="dxa"/>
            <w:tcBorders>
              <w:top w:val="single" w:color="E1E4E8" w:sz="4"/>
              <w:left w:val="single" w:color="E1E4E8" w:sz="4"/>
              <w:bottom w:val="single" w:color="E1E4E8" w:sz="4"/>
              <w:right w:val="single" w:color="E1E4E8" w:sz="4"/>
            </w:tcBorders>
            <w:shd w:val="clear" w:color="auto" w:fill="F5F5F5"/>
          </w:tcPr>
          <w:p>
            <w:pPr>
              <w:spacing w:before="0" w:after="60" w:line="240" w:lineRule="auto"/>
            </w:pPr>
            <w:r>
              <w:rPr>
                <w:rFonts w:eastAsia="Consolas" w:ascii="Consolas" w:hAnsi="Consolas" w:cs="Consolas"/>
                <w:color w:val="999999"/>
                <w:sz w:val="22"/>
              </w:rPr>
              <w:t>JSON</w:t>
            </w:r>
          </w:p>
          <w:p>
            <w:pPr>
              <w:spacing w:before="60" w:after="60" w:line="240" w:lineRule="auto"/>
            </w:pP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>[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{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"id": "C_01",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"dimension": "Control",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"sub_dimension": "Monitoring",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"text_self": "我会经常查看伴侣的手机、聊天记录或社交媒体动态。",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"text_partner": "我的伴侣经常查看我的手机、聊天记录或社交媒体动态。",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"type": "positive",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"weight": 1.0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},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{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"id": "C_02",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"dimension": "Control",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"sub_dimension": "SocialRestriction",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"text_self": "当伴侣和异性朋友单独出去时，我会强制要求取消。",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"text_partner": "当我和异性朋友单独出去时，他/她会强制要求取消。",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"type": "positive",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"weight": 1.2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},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{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"id": "J_01",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"dimension": "Jealousy",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"sub_dimension": "Cognitive",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"text_self": "即使没有证据，我也常怀疑伴侣对我不忠。",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"text_partner": "即使没有证据，他/她也常怀疑我对不忠。",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"type": "positive",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"weight": 1.0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},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{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"id": "J_05",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"dimension": "Jealousy",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"sub_dimension": "Behavioral",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"text_self": "如果不在一起，我会不断发消息确认伴侣的位置。",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"text_partner": "如果不在一起，他/她会不断发消息确认我的位置。",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"type": "positive",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"weight": 1.0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},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{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"id": "D_01",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"dimension": "Dependency",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"sub_dimension": "SelfLoss",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"text_self": "如果没有伴侣在身边，我觉得自己是不完整的。",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"text_partner": "他/她觉得没有我在身边，自己就是不完整的。",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"type": "positive",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"weight": 1.0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},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{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"id": "D_R_01",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"dimension": "Dependency",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"text_self": "我有自己独立的爱好和朋友圈，不需要伴侣参与。",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"text_partner": "他/她有自己独立的爱好和朋友圈，不需要我参与。",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"type": "reverse",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"weight": 1.0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},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{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"id": "I_01",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"dimension": "Insecurity",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"sub_dimension": "Abandonment",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"text_self": "我经常担心伴侣会突然不再爱我了。",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"text_partner": "他/她经常担心我会突然不再爱他/她了。",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"type": "positive",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"weight": 1.0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},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{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"id": "ATTN_01",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"dimension": "AttentionCheck",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"text_self": "为了确保您在认真答题，本题请选择'完全符合'。",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"text_partner": "为了确保您在认真答题，本题请选择'完全符合'。",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"type": "check",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"expected_val": 7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}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>]</w:t>
            </w:r>
          </w:p>
          <w:p>
            <w:pPr>
              <w:spacing w:before="60" w:after="60" w:line="240" w:lineRule="auto"/>
            </w:pPr>
          </w:p>
        </w:tc>
      </w:tr>
    </w:tbl>
    <w:p>
      <w:pPr>
        <w:spacing w:before="120" w:after="0"/>
      </w:pP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5.3 双视角适配策略</w:t>
      </w:r>
    </w:p>
    <w:p>
      <w:pPr>
        <w:spacing w:before="380" w:after="140" w:line="288" w:lineRule="auto"/>
      </w:pPr>
      <w:r>
        <w:rPr>
          <w:rFonts w:eastAsia="等线" w:ascii="等线" w:hAnsi="等线" w:cs="等线"/>
          <w:b w:val="true"/>
          <w:color w:val="2355EF"/>
          <w:sz w:val="36"/>
        </w:rPr>
        <w:t xml:space="preserve">6. </w:t>
      </w:r>
      <w:r>
        <w:rPr>
          <w:rFonts w:eastAsia="等线" w:ascii="Arial" w:hAnsi="等线" w:cs="等线"/>
          <w:b w:val="true"/>
          <w:color w:val="000000"/>
          <w:sz w:val="36"/>
        </w:rPr>
        <w:t>计分与结果解释体系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color w:val="000000"/>
          <w:sz w:val="22"/>
        </w:rPr>
        <w:t>本节定义后端或前端 JS 需要执行的计算逻辑。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6.1 核心算法步骤</w:t>
      </w:r>
    </w:p>
    <w:tbl>
      <w:tblPr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294"/>
      </w:tblGrid>
      <w:tr>
        <w:trPr/>
        <w:tc>
          <w:tcPr>
            <w:tcW w:w="8294" w:type="dxa"/>
            <w:tcBorders>
              <w:top w:val="single" w:color="E1E4E8" w:sz="4"/>
              <w:left w:val="single" w:color="E1E4E8" w:sz="4"/>
              <w:bottom w:val="single" w:color="E1E4E8" w:sz="4"/>
              <w:right w:val="single" w:color="E1E4E8" w:sz="4"/>
            </w:tcBorders>
            <w:shd w:val="clear" w:color="auto" w:fill="F5F5F5"/>
          </w:tcPr>
          <w:p>
            <w:pPr>
              <w:spacing w:before="0" w:after="60" w:line="240" w:lineRule="auto"/>
            </w:pPr>
            <w:r>
              <w:rPr>
                <w:rFonts w:eastAsia="Consolas" w:ascii="Consolas" w:hAnsi="Consolas" w:cs="Consolas"/>
                <w:color w:val="999999"/>
                <w:sz w:val="22"/>
              </w:rPr>
              <w:t>Python</w:t>
            </w:r>
          </w:p>
          <w:p>
            <w:pPr>
              <w:spacing w:before="60" w:after="60" w:line="240" w:lineRule="auto"/>
            </w:pP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>def calculate_rpi(responses):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# 1. 预处理：反向题转分 (1-&gt;7, 7-&gt;1)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# Formula: NewScore = MaxScale + MinScale - RawScore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# For 1-7 Scale: New = 8 - Raw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# 2. 维度计算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scores = {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    "Control": [], "Jealousy": [], 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    "Dependency": [], "Insecurity": []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}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for r in responses: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    val = r.value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    if r.is_reverse: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        val = 8 - val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    scores[r.dimension].append(val)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    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# 3. 标准化 (Normalize to 0-100)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# Raw Avg (1-7) -&gt; (Avg - 1) / (7 - 1) * 100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results = {}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for dim, vals in scores.items():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    if not vals: continue # Handle missing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    avg = sum(vals) / len(vals)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    results[dim] = round((avg - 1) / 6 * 100, 1)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    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# 4. 总分加权 (Weighted Total)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# Weights: C=0.3, J=0.25, D=0.2, I=0.25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total_score = (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    results["Control"] * 0.3 + 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    results["Jealousy"] * 0.25 + 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    results["Dependency"] * 0.2 + 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    results["Insecurity"] * 0.25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)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return {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    "dimensions": results,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    "total": round(total_score),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    "tier": get_tier(total_score)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}</w:t>
            </w:r>
          </w:p>
          <w:p>
            <w:pPr>
              <w:spacing w:before="60" w:after="60" w:line="240" w:lineRule="auto"/>
            </w:pP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>def get_tier(score):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if score &lt; 30: return "Healthy"    # 绿色：健康安稳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if score &lt; 50: return "Moderate"   # 黄色：轻度预警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if score &lt; 75: return "High"       # 橙色：显著风险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return "Dangerous"                 # 红色：高危/寻求帮助</w:t>
            </w:r>
          </w:p>
          <w:p>
            <w:pPr>
              <w:spacing w:before="60" w:after="60" w:line="240" w:lineRule="auto"/>
            </w:pPr>
          </w:p>
        </w:tc>
      </w:tr>
    </w:tbl>
    <w:p>
      <w:pPr>
        <w:spacing w:before="120" w:after="0"/>
      </w:pP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6.2 结果分层文案库</w:t>
      </w:r>
    </w:p>
    <w:tbl>
      <w:tblPr>
        <w:tblBorders>
          <w:top w:val="single" w:color="BBBFC4" w:space="0" w:sz="4"/>
          <w:left w:val="single" w:color="BBBFC4" w:space="0" w:sz="4"/>
          <w:bottom w:val="single" w:color="BBBFC4" w:space="0" w:sz="4"/>
          <w:right w:val="single" w:color="BBBFC4" w:space="0" w:sz="4"/>
          <w:insideH w:val="single" w:color="BBBFC4" w:space="0" w:sz="4"/>
          <w:insideV w:val="single" w:color="BBBFC4" w:space="0" w:sz="4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78"/>
        <w:gridCol w:w="2078"/>
        <w:gridCol w:w="2068"/>
        <w:gridCol w:w="2068"/>
      </w:tblGrid>
      <w:tr>
        <w:trPr/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分段 (0-100)</w:t>
            </w:r>
          </w:p>
        </w:tc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标签</w:t>
            </w:r>
          </w:p>
        </w:tc>
        <w:tc>
          <w:tcPr>
            <w:tcW w:w="206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关键解释</w:t>
            </w:r>
          </w:p>
        </w:tc>
        <w:tc>
          <w:tcPr>
            <w:tcW w:w="206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行动建议</w:t>
            </w:r>
          </w:p>
        </w:tc>
      </w:tr>
      <w:tr>
        <w:trPr/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0 - 29</w:t>
            </w:r>
          </w:p>
        </w:tc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16A34A"/>
                <w:sz w:val="22"/>
              </w:rPr>
              <w:t>健康安稳型</w:t>
            </w:r>
          </w:p>
        </w:tc>
        <w:tc>
          <w:tcPr>
            <w:tcW w:w="206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你的关系拥有良好的信任基础与独立空间。占有欲处于自然且适度的范围。</w:t>
            </w:r>
          </w:p>
        </w:tc>
        <w:tc>
          <w:tcPr>
            <w:tcW w:w="206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保持现状；作为模范关系分享。</w:t>
            </w:r>
          </w:p>
        </w:tc>
      </w:tr>
      <w:tr>
        <w:trPr/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30 - 49</w:t>
            </w:r>
          </w:p>
        </w:tc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CA8A04"/>
                <w:sz w:val="22"/>
              </w:rPr>
              <w:t>轻度焦虑型</w:t>
            </w:r>
          </w:p>
        </w:tc>
        <w:tc>
          <w:tcPr>
            <w:tcW w:w="206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偶尔的吃醋或查岗可能是因为特定事件或沟通不足。存在一些不安全感的"杂音"。</w:t>
            </w:r>
          </w:p>
        </w:tc>
        <w:tc>
          <w:tcPr>
            <w:tcW w:w="206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发起一次"坦诚对话"；建立更明确的报备规则。</w:t>
            </w:r>
          </w:p>
        </w:tc>
      </w:tr>
      <w:tr>
        <w:trPr/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50 - 74</w:t>
            </w:r>
          </w:p>
        </w:tc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EA580C"/>
                <w:sz w:val="22"/>
              </w:rPr>
              <w:t>高压控制型</w:t>
            </w:r>
          </w:p>
        </w:tc>
        <w:tc>
          <w:tcPr>
            <w:tcW w:w="206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警报！占有欲已开始侵蚀个人边界。可能伴随频繁的争吵、情绪勒索或社交限制。</w:t>
            </w:r>
          </w:p>
        </w:tc>
        <w:tc>
          <w:tcPr>
            <w:tcW w:w="206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阅读《非暴力沟通》；暂停部分共享账号；建议个人咨询。</w:t>
            </w:r>
          </w:p>
        </w:tc>
      </w:tr>
      <w:tr>
        <w:trPr/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75 - 100</w:t>
            </w:r>
          </w:p>
        </w:tc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B91C1C"/>
                <w:sz w:val="22"/>
              </w:rPr>
              <w:t>危险/需干预</w:t>
            </w:r>
          </w:p>
        </w:tc>
        <w:tc>
          <w:tcPr>
            <w:tcW w:w="206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高危状态。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这已超出正常"爱"的范畴，可能涉及心理控制 (Gaslighting) 或潜在暴力风险。</w:t>
            </w:r>
          </w:p>
        </w:tc>
        <w:tc>
          <w:tcPr>
            <w:tcW w:w="206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立即停止自责；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联系专业机构；建立安全计划；考虑暂时分居。</w:t>
            </w:r>
          </w:p>
        </w:tc>
      </w:tr>
    </w:tbl>
    <w:p>
      <w:pPr>
        <w:spacing w:before="120" w:after="120" w:line="288" w:lineRule="auto"/>
      </w:pPr>
    </w:p>
    <w:p>
      <w:pPr>
        <w:spacing w:before="380" w:after="140" w:line="288" w:lineRule="auto"/>
      </w:pPr>
      <w:r>
        <w:rPr>
          <w:rFonts w:eastAsia="等线" w:ascii="等线" w:hAnsi="等线" w:cs="等线"/>
          <w:b w:val="true"/>
          <w:color w:val="2355EF"/>
          <w:sz w:val="36"/>
        </w:rPr>
        <w:t xml:space="preserve">7. </w:t>
      </w:r>
      <w:r>
        <w:rPr>
          <w:rFonts w:eastAsia="等线" w:ascii="Arial" w:hAnsi="等线" w:cs="等线"/>
          <w:b w:val="true"/>
          <w:color w:val="000000"/>
          <w:sz w:val="36"/>
        </w:rPr>
        <w:t>体验设计：页面原型说明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color w:val="000000"/>
          <w:sz w:val="22"/>
        </w:rPr>
        <w:t>产品体验应遵循"温和、中立、不评判"的视觉风格（推荐使用莫兰迪色系）。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Landing Page (首屏)</w:t>
      </w:r>
      <w:r>
        <w:rPr>
          <w:rFonts w:eastAsia="等线" w:ascii="Arial" w:hAnsi="等线" w:cs="等线"/>
          <w:color w:val="000000"/>
          <w:sz w:val="22"/>
        </w:rPr>
        <w:t xml:space="preserve">
- 核心文案："爱是占有，还是自由？10 分钟科学评估你的关系健康度。"
- 信任背书：展示"基于 MJS/ECR 量表" + "隐私保护承诺（数据不上传）"。
- CTA 按钮："开始测评"（附带：预计耗时 8-12 分钟）。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视角选择页</w:t>
      </w:r>
      <w:r>
        <w:rPr>
          <w:rFonts w:eastAsia="等线" w:ascii="Arial" w:hAnsi="等线" w:cs="等线"/>
          <w:color w:val="000000"/>
          <w:sz w:val="22"/>
        </w:rPr>
        <w:t xml:space="preserve">
- 卡片 A："测我自己"（配图：镜子/自省，文案：探索内心安全感）。
- 卡片 B："测我的伴侣"（配图：双人剪影，文案：评估关系压力源）。
- </w:t>
      </w:r>
      <w:r>
        <w:rPr>
          <w:rFonts w:eastAsia="等线" w:ascii="Arial" w:hAnsi="等线" w:cs="等线"/>
          <w:i w:val="true"/>
          <w:color w:val="000000"/>
          <w:sz w:val="22"/>
        </w:rPr>
        <w:t>(关键交互：选择后立即进入答题，减少流失)。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答题页 (The Flow)</w:t>
      </w:r>
      <w:r>
        <w:rPr>
          <w:rFonts w:eastAsia="等线" w:ascii="Arial" w:hAnsi="等线" w:cs="等线"/>
          <w:color w:val="000000"/>
          <w:sz w:val="22"/>
        </w:rPr>
        <w:t xml:space="preserve">
- 顶部：进度条（平滑动画）。
- 中部：单题卡片（大字号，避免视觉疲劳）。
- 底部：Likert 1-7 选择器（两端标注"完全不符/完全符合"）。
- </w:t>
      </w:r>
      <w:r>
        <w:rPr>
          <w:rFonts w:eastAsia="等线" w:ascii="Arial" w:hAnsi="等线" w:cs="等线"/>
          <w:i w:val="true"/>
          <w:color w:val="000000"/>
          <w:sz w:val="22"/>
        </w:rPr>
        <w:t>(交互细节：点击选项后自动跳下一题，无需"下一步"按钮)。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加载/计算页</w:t>
      </w:r>
      <w:r>
        <w:rPr>
          <w:rFonts w:eastAsia="等线" w:ascii="Arial" w:hAnsi="等线" w:cs="等线"/>
          <w:color w:val="000000"/>
          <w:sz w:val="22"/>
        </w:rPr>
        <w:t xml:space="preserve">
- 必须有 3 秒假加载动画。
- 轮播文案："正在分析嫉妒维度..."、"正在比对依恋模型..."、"生成个性化建议..."（增加价值感）。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结果页 (The Result)</w:t>
      </w:r>
      <w:r>
        <w:rPr>
          <w:rFonts w:eastAsia="等线" w:ascii="Arial" w:hAnsi="等线" w:cs="等线"/>
          <w:color w:val="000000"/>
          <w:sz w:val="22"/>
        </w:rPr>
        <w:t xml:space="preserve">
- </w:t>
      </w:r>
      <w:r>
        <w:rPr>
          <w:rFonts w:eastAsia="等线" w:ascii="Arial" w:hAnsi="等线" w:cs="等线"/>
          <w:b w:val="true"/>
          <w:color w:val="000000"/>
          <w:sz w:val="22"/>
        </w:rPr>
        <w:t>首屏：</w:t>
      </w:r>
      <w:r>
        <w:rPr>
          <w:rFonts w:eastAsia="等线" w:ascii="Arial" w:hAnsi="等线" w:cs="等线"/>
          <w:color w:val="000000"/>
          <w:sz w:val="22"/>
        </w:rPr>
        <w:t xml:space="preserve"> 总分大数字 + 醒目的分层标签（如"高压控制型"）。
- </w:t>
      </w:r>
      <w:r>
        <w:rPr>
          <w:rFonts w:eastAsia="等线" w:ascii="Arial" w:hAnsi="等线" w:cs="等线"/>
          <w:b w:val="true"/>
          <w:color w:val="000000"/>
          <w:sz w:val="22"/>
        </w:rPr>
        <w:t>图表：</w:t>
      </w:r>
      <w:r>
        <w:rPr>
          <w:rFonts w:eastAsia="等线" w:ascii="Arial" w:hAnsi="等线" w:cs="等线"/>
          <w:color w:val="000000"/>
          <w:sz w:val="22"/>
        </w:rPr>
        <w:t xml:space="preserve"> 雷达图（四维度得分 vs 平均水平）。
- </w:t>
      </w:r>
      <w:r>
        <w:rPr>
          <w:rFonts w:eastAsia="等线" w:ascii="Arial" w:hAnsi="等线" w:cs="等线"/>
          <w:b w:val="true"/>
          <w:color w:val="000000"/>
          <w:sz w:val="22"/>
        </w:rPr>
        <w:t>深度解读：</w:t>
      </w:r>
      <w:r>
        <w:rPr>
          <w:rFonts w:eastAsia="等线" w:ascii="Arial" w:hAnsi="等线" w:cs="等线"/>
          <w:color w:val="000000"/>
          <w:sz w:val="22"/>
        </w:rPr>
        <w:t xml:space="preserve"> 针对得分最高的那个维度，展开详细说明（"为什么你会控制？"）。
- </w:t>
      </w:r>
      <w:r>
        <w:rPr>
          <w:rFonts w:eastAsia="等线" w:ascii="Arial" w:hAnsi="等线" w:cs="等线"/>
          <w:b w:val="true"/>
          <w:color w:val="000000"/>
          <w:sz w:val="22"/>
        </w:rPr>
        <w:t>行动指南：</w:t>
      </w:r>
      <w:r>
        <w:rPr>
          <w:rFonts w:eastAsia="等线" w:ascii="Arial" w:hAnsi="等线" w:cs="等线"/>
          <w:color w:val="000000"/>
          <w:sz w:val="22"/>
        </w:rPr>
        <w:t xml:space="preserve"> 3 条具体建议（如"本周练习：当感到嫉妒时，延迟 10 分钟再发火"）。
- </w:t>
      </w:r>
      <w:r>
        <w:rPr>
          <w:rFonts w:eastAsia="等线" w:ascii="Arial" w:hAnsi="等线" w:cs="等线"/>
          <w:b w:val="true"/>
          <w:color w:val="000000"/>
          <w:sz w:val="22"/>
        </w:rPr>
        <w:t>危机模块：</w:t>
      </w:r>
      <w:r>
        <w:rPr>
          <w:rFonts w:eastAsia="等线" w:ascii="Arial" w:hAnsi="等线" w:cs="等线"/>
          <w:color w:val="000000"/>
          <w:sz w:val="22"/>
        </w:rPr>
        <w:t xml:space="preserve"> 若分值&gt;75，底部常驻红色"寻求帮助"栏。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分享/保存页</w:t>
      </w:r>
      <w:r>
        <w:rPr>
          <w:rFonts w:eastAsia="等线" w:ascii="Arial" w:hAnsi="等线" w:cs="等线"/>
          <w:color w:val="000000"/>
          <w:sz w:val="22"/>
        </w:rPr>
        <w:t xml:space="preserve">
- 生成一张长图（Share Card）：包含结果标签、雷达图、以及一句高情商的"关系格言"。
- </w:t>
      </w:r>
      <w:r>
        <w:rPr>
          <w:rFonts w:eastAsia="等线" w:ascii="Arial" w:hAnsi="等线" w:cs="等线"/>
          <w:b w:val="true"/>
          <w:color w:val="000000"/>
          <w:sz w:val="22"/>
        </w:rPr>
        <w:t>脱敏设计：</w:t>
      </w:r>
      <w:r>
        <w:rPr>
          <w:rFonts w:eastAsia="等线" w:ascii="Arial" w:hAnsi="等线" w:cs="等线"/>
          <w:color w:val="000000"/>
          <w:sz w:val="22"/>
        </w:rPr>
        <w:t xml:space="preserve"> 绝对不显示具体题目答案，只显示宏观结论。</w:t>
      </w:r>
    </w:p>
    <w:p>
      <w:pPr>
        <w:spacing w:before="380" w:after="140" w:line="288" w:lineRule="auto"/>
      </w:pPr>
      <w:r>
        <w:rPr>
          <w:rFonts w:eastAsia="等线" w:ascii="等线" w:hAnsi="等线" w:cs="等线"/>
          <w:b w:val="true"/>
          <w:color w:val="2355EF"/>
          <w:sz w:val="36"/>
        </w:rPr>
        <w:t xml:space="preserve">8. </w:t>
      </w:r>
      <w:r>
        <w:rPr>
          <w:rFonts w:eastAsia="等线" w:ascii="Arial" w:hAnsi="等线" w:cs="等线"/>
          <w:b w:val="true"/>
          <w:color w:val="000000"/>
          <w:sz w:val="36"/>
        </w:rPr>
        <w:t>数据与技术方案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color w:val="000000"/>
          <w:sz w:val="22"/>
        </w:rPr>
        <w:t>为满足"可直接开发"的要求，推荐采用前后端分离架构，但</w:t>
      </w:r>
      <w:r>
        <w:rPr>
          <w:rFonts w:eastAsia="等线" w:ascii="Arial" w:hAnsi="等线" w:cs="等线"/>
          <w:b w:val="true"/>
          <w:color w:val="000000"/>
          <w:sz w:val="22"/>
        </w:rPr>
        <w:t>MVP 版本优先纯前端实现</w:t>
      </w:r>
      <w:r>
        <w:rPr>
          <w:rFonts w:eastAsia="等线" w:ascii="Arial" w:hAnsi="等线" w:cs="等线"/>
          <w:color w:val="000000"/>
          <w:sz w:val="22"/>
        </w:rPr>
        <w:t>以降低合规成本。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8.1 数据模型 (TypeScript Interface)</w:t>
      </w:r>
    </w:p>
    <w:tbl>
      <w:tblPr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294"/>
      </w:tblGrid>
      <w:tr>
        <w:trPr/>
        <w:tc>
          <w:tcPr>
            <w:tcW w:w="8294" w:type="dxa"/>
            <w:tcBorders>
              <w:top w:val="single" w:color="E1E4E8" w:sz="4"/>
              <w:left w:val="single" w:color="E1E4E8" w:sz="4"/>
              <w:bottom w:val="single" w:color="E1E4E8" w:sz="4"/>
              <w:right w:val="single" w:color="E1E4E8" w:sz="4"/>
            </w:tcBorders>
            <w:shd w:val="clear" w:color="auto" w:fill="F5F5F5"/>
          </w:tcPr>
          <w:p>
            <w:pPr>
              <w:spacing w:before="0" w:after="60" w:line="240" w:lineRule="auto"/>
            </w:pPr>
            <w:r>
              <w:rPr>
                <w:rFonts w:eastAsia="Consolas" w:ascii="Consolas" w:hAnsi="Consolas" w:cs="Consolas"/>
                <w:color w:val="999999"/>
                <w:sz w:val="22"/>
              </w:rPr>
              <w:t>TypeScript</w:t>
            </w:r>
          </w:p>
          <w:p>
            <w:pPr>
              <w:spacing w:before="60" w:after="60" w:line="240" w:lineRule="auto"/>
            </w:pP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>interface Session {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sessionId: string;      // UUID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startTime: number;      // Timestamp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perspective: 'self' | 'partner';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responses: {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questionId: string;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value: number;        // 1-7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timeTaken: number;    // ms (用于风控/注意力检测)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}[];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result?: {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totalScore: number;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dimensions: Record&lt;string, number&gt;;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tier: string;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generatedAt: number;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};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>}</w:t>
            </w:r>
          </w:p>
          <w:p>
            <w:pPr>
              <w:spacing w:before="60" w:after="60" w:line="240" w:lineRule="auto"/>
            </w:pP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>interface UserConfig {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theme: 'light' | 'dark';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hideSensitiveResults: boolean; // 隐私模式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>}</w:t>
            </w:r>
          </w:p>
          <w:p>
            <w:pPr>
              <w:spacing w:before="60" w:after="60" w:line="240" w:lineRule="auto"/>
            </w:pPr>
          </w:p>
        </w:tc>
      </w:tr>
    </w:tbl>
    <w:p>
      <w:pPr>
        <w:spacing w:before="120" w:after="0"/>
      </w:pP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8.2 存储策略</w:t>
      </w:r>
    </w:p>
    <w:p>
      <w:pPr>
        <w:numPr>
          <w:ilvl w:val="0"/>
          <w:numId w:val="21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Local-First (推荐):</w:t>
      </w:r>
      <w:r>
        <w:rPr>
          <w:rFonts w:eastAsia="等线" w:ascii="Arial" w:hAnsi="等线" w:cs="等线"/>
          <w:color w:val="000000"/>
          <w:sz w:val="22"/>
        </w:rPr>
        <w:t xml:space="preserve"> 所有答题数据存入 </w:t>
      </w:r>
      <w:r>
        <w:rPr>
          <w:rFonts w:eastAsia="Consolas" w:ascii="Consolas" w:hAnsi="Consolas" w:cs="Consolas"/>
          <w:color w:val="000000"/>
          <w:sz w:val="22"/>
          <w:shd w:val="clear" w:color="auto" w:fill="F5F5F5"/>
        </w:rPr>
        <w:t>localStorage</w:t>
      </w:r>
      <w:r>
        <w:rPr>
          <w:rFonts w:eastAsia="等线" w:ascii="Arial" w:hAnsi="等线" w:cs="等线"/>
          <w:color w:val="000000"/>
          <w:sz w:val="22"/>
        </w:rPr>
        <w:t xml:space="preserve"> 或 </w:t>
      </w:r>
      <w:r>
        <w:rPr>
          <w:rFonts w:eastAsia="Consolas" w:ascii="Consolas" w:hAnsi="Consolas" w:cs="Consolas"/>
          <w:color w:val="000000"/>
          <w:sz w:val="22"/>
          <w:shd w:val="clear" w:color="auto" w:fill="F5F5F5"/>
        </w:rPr>
        <w:t>IndexedDB</w:t>
      </w:r>
      <w:r>
        <w:rPr>
          <w:rFonts w:eastAsia="等线" w:ascii="Arial" w:hAnsi="等线" w:cs="等线"/>
          <w:color w:val="000000"/>
          <w:sz w:val="22"/>
        </w:rPr>
        <w:t>。不强制登录，不收集手机号。</w:t>
      </w:r>
    </w:p>
    <w:p>
      <w:pPr>
        <w:numPr>
          <w:ilvl w:val="0"/>
          <w:numId w:val="21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数据加密：</w:t>
      </w:r>
      <w:r>
        <w:rPr>
          <w:rFonts w:eastAsia="等线" w:ascii="Arial" w:hAnsi="等线" w:cs="等线"/>
          <w:color w:val="000000"/>
          <w:sz w:val="22"/>
        </w:rPr>
        <w:t xml:space="preserve"> 存入本地前使用简单 AES 加密，防止他人借用手机时轻易查看明文历史。</w:t>
      </w:r>
    </w:p>
    <w:p>
      <w:pPr>
        <w:numPr>
          <w:ilvl w:val="0"/>
          <w:numId w:val="21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云端同步 (V1.0+):</w:t>
      </w:r>
      <w:r>
        <w:rPr>
          <w:rFonts w:eastAsia="等线" w:ascii="Arial" w:hAnsi="等线" w:cs="等线"/>
          <w:color w:val="000000"/>
          <w:sz w:val="22"/>
        </w:rPr>
        <w:t xml:space="preserve"> 仅当用户主动点击"保存云端"并注册后，才将加密 Blob 上传至服务器（AWS S3 / 阿里云 OSS）。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8.3 埋点设计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color w:val="000000"/>
          <w:sz w:val="22"/>
        </w:rPr>
        <w:t>仅收集匿名行为数据用于优化产品，不关联用户身份。</w:t>
      </w:r>
    </w:p>
    <w:tbl>
      <w:tblPr>
        <w:tblBorders>
          <w:top w:val="single" w:color="BBBFC4" w:space="0" w:sz="4"/>
          <w:left w:val="single" w:color="BBBFC4" w:space="0" w:sz="4"/>
          <w:bottom w:val="single" w:color="BBBFC4" w:space="0" w:sz="4"/>
          <w:right w:val="single" w:color="BBBFC4" w:space="0" w:sz="4"/>
          <w:insideH w:val="single" w:color="BBBFC4" w:space="0" w:sz="4"/>
          <w:insideV w:val="single" w:color="BBBFC4" w:space="0" w:sz="4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764"/>
        <w:gridCol w:w="2764"/>
        <w:gridCol w:w="2764"/>
      </w:tblGrid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Event Name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Trigger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Purpose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survey_start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点击开始按钮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计算转化漏斗。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question_drop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用户在第 N 题离开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识别晦涩或冒犯性的题目。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result_share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点击生成分享卡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衡量 K 因子 (Virality)。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crisis_click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点击危机热线链接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核心风控指标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，监测潜在高危用户占比。</w:t>
            </w:r>
          </w:p>
        </w:tc>
      </w:tr>
    </w:tbl>
    <w:p>
      <w:pPr>
        <w:spacing w:before="120" w:after="120" w:line="288" w:lineRule="auto"/>
      </w:pPr>
    </w:p>
    <w:p>
      <w:pPr>
        <w:spacing w:before="380" w:after="140" w:line="288" w:lineRule="auto"/>
      </w:pPr>
      <w:r>
        <w:rPr>
          <w:rFonts w:eastAsia="等线" w:ascii="等线" w:hAnsi="等线" w:cs="等线"/>
          <w:b w:val="true"/>
          <w:color w:val="2355EF"/>
          <w:sz w:val="36"/>
        </w:rPr>
        <w:t xml:space="preserve">9. </w:t>
      </w:r>
      <w:r>
        <w:rPr>
          <w:rFonts w:eastAsia="等线" w:ascii="Arial" w:hAnsi="等线" w:cs="等线"/>
          <w:b w:val="true"/>
          <w:color w:val="000000"/>
          <w:sz w:val="36"/>
        </w:rPr>
        <w:t>风控、伦理与合规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color w:val="000000"/>
          <w:sz w:val="22"/>
        </w:rPr>
        <w:t>作为心理类产品，伦理风险是最大的隐患。必须建立多重防火墙。</w:t>
      </w:r>
    </w:p>
    <w:tbl>
      <w:tblPr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47"/>
        <w:gridCol w:w="4147"/>
      </w:tblGrid>
      <w:tr>
        <w:trPr/>
        <w:tc>
          <w:tcPr>
            <w:tcW w:w="4147" w:type="dxa"/>
            <w:shd w:val="clear" w:color="auto" w:fill="FFFFFF"/>
          </w:tcPr>
          <w:tbl>
            <w:tblPr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4147"/>
            </w:tblGrid>
            <w:tr>
              <w:trPr/>
              <w:tc>
                <w:tcPr>
                  <w:tcW w:w="4147" w:type="dxa"/>
                  <w:shd w:val="clear" w:color="auto" w:fill="FFFFFF"/>
                </w:tcPr>
                <w:p>
                  <w:pPr>
                    <w:spacing w:before="30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30"/>
                    </w:rPr>
                    <w:t>1. 防羞辱 (Anti-Shaming)</w:t>
                  </w:r>
                </w:p>
                <w:p>
                  <w:pPr>
                    <w:spacing w:before="12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风险：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用户拿结果去攻击伴侣（"看，系统说你有病"）。
</w:t>
                  </w: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对策：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结果页文案必须去病理化。
- 禁用词：变态、疯子、有病、PUA。
- 替代词：高需求、安全感缺失、控制倾向。
- 并在分享卡上强制附加："此结果仅代表特定时期的状态，不代表一个人的人格全貌。"</w:t>
                  </w:r>
                </w:p>
              </w:tc>
            </w:tr>
          </w:tbl>
          <w:p/>
        </w:tc>
        <w:tc>
          <w:tcPr>
            <w:tcW w:w="4147" w:type="dxa"/>
            <w:shd w:val="clear" w:color="auto" w:fill="FFFFFF"/>
          </w:tcPr>
          <w:tbl>
            <w:tblPr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4147"/>
            </w:tblGrid>
            <w:tr>
              <w:trPr/>
              <w:tc>
                <w:tcPr>
                  <w:tcW w:w="4147" w:type="dxa"/>
                  <w:shd w:val="clear" w:color="auto" w:fill="FFFFFF"/>
                </w:tcPr>
                <w:p>
                  <w:pPr>
                    <w:spacing w:before="30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30"/>
                    </w:rPr>
                    <w:t>2. 危机干预资源</w:t>
                  </w:r>
                </w:p>
                <w:p>
                  <w:pPr>
                    <w:spacing w:before="12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策略：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 xml:space="preserve"> 当"控制欲望"或"嫉妒强度"维度得分极高时：
- 自动隐藏"分享"按钮（防止激怒伴侣）。
- 页面底部弹出常驻栏："如果您感到不安全..."
- 链接资源：
1. 全国妇联权益热线: 12338
2. 心理援助热线: 400-161-9995
3. 反家暴科普链接。</w:t>
                  </w:r>
                </w:p>
              </w:tc>
            </w:tr>
          </w:tbl>
          <w:p/>
        </w:tc>
      </w:tr>
    </w:tbl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3. 版权声明</w:t>
      </w:r>
    </w:p>
    <w:p>
      <w:pPr>
        <w:spacing w:before="380" w:after="140" w:line="288" w:lineRule="auto"/>
      </w:pPr>
      <w:r>
        <w:rPr>
          <w:rFonts w:eastAsia="等线" w:ascii="等线" w:hAnsi="等线" w:cs="等线"/>
          <w:b w:val="true"/>
          <w:color w:val="2355EF"/>
          <w:sz w:val="36"/>
        </w:rPr>
        <w:t xml:space="preserve">10. </w:t>
      </w:r>
      <w:r>
        <w:rPr>
          <w:rFonts w:eastAsia="等线" w:ascii="Arial" w:hAnsi="等线" w:cs="等线"/>
          <w:b w:val="true"/>
          <w:color w:val="000000"/>
          <w:sz w:val="36"/>
        </w:rPr>
        <w:t>研发计划与验收标准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Phase 1: MVP (Week 1-2)</w:t>
      </w:r>
      <w:r>
        <w:rPr>
          <w:rFonts w:eastAsia="等线" w:ascii="Arial" w:hAnsi="等线" w:cs="等线"/>
          <w:color w:val="000000"/>
          <w:sz w:val="22"/>
        </w:rPr>
        <w:t xml:space="preserve">
- 目标：单页面应用 (SPA)，跑通全流程。
- 功能：40 题自测、本地计分、基础结果页、危机资源链接。
- 交付物：可用的 H5 链接。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Phase 2: 完善与双视角 (Week 3-4)</w:t>
      </w:r>
      <w:r>
        <w:rPr>
          <w:rFonts w:eastAsia="等线" w:ascii="Arial" w:hAnsi="等线" w:cs="等线"/>
          <w:color w:val="000000"/>
          <w:sz w:val="22"/>
        </w:rPr>
        <w:t xml:space="preserve">
- 目标：增加"为伴侣测"功能。
- 功能：新增双题库逻辑、分享卡生成（Canvas 绘图）、历史记录（LocalStorage 管理）。
- 测试重点：双视角的题目切换逻辑是否顺畅。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Phase 3: 运营与增长 (Week 5-6)</w:t>
      </w:r>
      <w:r>
        <w:rPr>
          <w:rFonts w:eastAsia="等线" w:ascii="Arial" w:hAnsi="等线" w:cs="等线"/>
          <w:color w:val="000000"/>
          <w:sz w:val="22"/>
        </w:rPr>
        <w:t xml:space="preserve">
- 目标：提高留存与传播。
- 功能：12 题短版（Lite Mode）、对比数据（"你的占有欲超过了 80% 的用户"）、多语言支持。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10.2 验收标准 (Acceptance Criteria)</w:t>
      </w:r>
      <w:r>
        <w:rPr>
          <w:rFonts w:eastAsia="等线" w:ascii="Arial" w:hAnsi="等线" w:cs="等线"/>
          <w:color w:val="000000"/>
          <w:sz w:val="22"/>
        </w:rPr>
        <w:t xml:space="preserve">1. </w:t>
      </w:r>
      <w:r>
        <w:rPr>
          <w:rFonts w:eastAsia="等线" w:ascii="Arial" w:hAnsi="等线" w:cs="等线"/>
          <w:b w:val="true"/>
          <w:color w:val="000000"/>
          <w:sz w:val="22"/>
        </w:rPr>
        <w:t>准确性：</w:t>
      </w:r>
      <w:r>
        <w:rPr>
          <w:rFonts w:eastAsia="等线" w:ascii="Arial" w:hAnsi="等线" w:cs="等线"/>
          <w:color w:val="000000"/>
          <w:sz w:val="22"/>
        </w:rPr>
        <w:t xml:space="preserve"> 输入特定测试用例（如全选 7 分），总分必须为 100，分层必须为"危险"。
2. </w:t>
      </w:r>
      <w:r>
        <w:rPr>
          <w:rFonts w:eastAsia="等线" w:ascii="Arial" w:hAnsi="等线" w:cs="等线"/>
          <w:b w:val="true"/>
          <w:color w:val="000000"/>
          <w:sz w:val="22"/>
        </w:rPr>
        <w:t>兼容性：</w:t>
      </w:r>
      <w:r>
        <w:rPr>
          <w:rFonts w:eastAsia="等线" w:ascii="Arial" w:hAnsi="等线" w:cs="等线"/>
          <w:color w:val="000000"/>
          <w:sz w:val="22"/>
        </w:rPr>
        <w:t xml:space="preserve"> 移动端（iOS/Android）Chrome 与微信内置浏览器显示无错位。
3. </w:t>
      </w:r>
      <w:r>
        <w:rPr>
          <w:rFonts w:eastAsia="等线" w:ascii="Arial" w:hAnsi="等线" w:cs="等线"/>
          <w:b w:val="true"/>
          <w:color w:val="000000"/>
          <w:sz w:val="22"/>
        </w:rPr>
        <w:t>隐私：</w:t>
      </w:r>
      <w:r>
        <w:rPr>
          <w:rFonts w:eastAsia="等线" w:ascii="Arial" w:hAnsi="等线" w:cs="等线"/>
          <w:color w:val="000000"/>
          <w:sz w:val="22"/>
        </w:rPr>
        <w:t xml:space="preserve"> 断网状态下可完成答题并查看结果；清除浏览器缓存后数据彻底消失。
4. </w:t>
      </w:r>
      <w:r>
        <w:rPr>
          <w:rFonts w:eastAsia="等线" w:ascii="Arial" w:hAnsi="等线" w:cs="等线"/>
          <w:b w:val="true"/>
          <w:color w:val="000000"/>
          <w:sz w:val="22"/>
        </w:rPr>
        <w:t>反向题：</w:t>
      </w:r>
      <w:r>
        <w:rPr>
          <w:rFonts w:eastAsia="等线" w:ascii="Arial" w:hAnsi="等线" w:cs="等线"/>
          <w:color w:val="000000"/>
          <w:sz w:val="22"/>
        </w:rPr>
        <w:t xml:space="preserve"> 必须正确反转计分，否则整个模型无效。</w:t>
      </w:r>
    </w:p>
    <w:sectPr>
      <w:pgSz w:w="11906" w:h="16838" w:orient="portrait" w:code="1"/>
      <w:pgMar w:left="1800" w:right="1800" w:gutter="0" w:header="720" w:top="1440" w:footer="720" w:bottom="144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201">
    <w:multiLevelType w:val="hybridMultilevel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."/>
      <w:lvlJc w:val="left"/>
      <w:pPr>
        <w:tabs>
          <w:tab w:val="num" w:pos="1080"/>
        </w:tabs>
        <w:ind w:left="1080" w:hanging="360"/>
      </w:pPr>
    </w:lvl>
    <w:lvl w:ilvl="3">
      <w:start w:val="1"/>
      <w:numFmt w:val="upperLetter"/>
      <w:lvlText w:val="%4."/>
      <w:lvlJc w:val="left"/>
      <w:pPr>
        <w:tabs>
          <w:tab w:val="num" w:pos="1440"/>
        </w:tabs>
        <w:ind w:left="1440" w:hanging="360"/>
      </w:p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Letter"/>
      <w:lvlText w:val="%6."/>
      <w:lvlJc w:val="left"/>
      <w:pPr>
        <w:tabs>
          <w:tab w:val="num" w:pos="2160"/>
        </w:tabs>
        <w:ind w:left="2160" w:hanging="360"/>
      </w:pPr>
    </w:lvl>
    <w:lvl w:ilvl="6">
      <w:start w:val="1"/>
      <w:numFmt w:val="lowerRoman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upp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decimal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2">
    <w:multiLevelType w:val="hybridMultilevel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○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♦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○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6">
      <w:start w:val="1"/>
      <w:numFmt w:val="bullet"/>
      <w:lvlText w:val="■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♦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02"/>
    <w:lvlOverride w:ilvl="0">
      <w:startOverride w:val="1"/>
    </w:lvlOverride>
  </w:num>
  <w:num w:numId="11">
    <w:abstractNumId w:val="202"/>
    <w:lvlOverride w:ilvl="0">
      <w:startOverride w:val="1"/>
    </w:lvlOverride>
  </w:num>
  <w:num w:numId="12">
    <w:abstractNumId w:val="202"/>
    <w:lvlOverride w:ilvl="0">
      <w:startOverride w:val="1"/>
    </w:lvlOverride>
  </w:num>
  <w:num w:numId="13">
    <w:abstractNumId w:val="202"/>
    <w:lvlOverride w:ilvl="0">
      <w:startOverride w:val="1"/>
    </w:lvlOverride>
  </w:num>
  <w:num w:numId="14">
    <w:abstractNumId w:val="202"/>
    <w:lvlOverride w:ilvl="0">
      <w:startOverride w:val="1"/>
    </w:lvlOverride>
  </w:num>
  <w:num w:numId="15">
    <w:abstractNumId w:val="202"/>
    <w:lvlOverride w:ilvl="0">
      <w:startOverride w:val="1"/>
    </w:lvlOverride>
  </w:num>
  <w:num w:numId="16">
    <w:abstractNumId w:val="202"/>
    <w:lvlOverride w:ilvl="0">
      <w:startOverride w:val="1"/>
    </w:lvlOverride>
  </w:num>
  <w:num w:numId="17">
    <w:abstractNumId w:val="202"/>
    <w:lvlOverride w:ilvl="0">
      <w:startOverride w:val="1"/>
    </w:lvlOverride>
  </w:num>
  <w:num w:numId="18">
    <w:abstractNumId w:val="202"/>
    <w:lvlOverride w:ilvl="0">
      <w:startOverride w:val="1"/>
    </w:lvlOverride>
  </w:num>
  <w:num w:numId="19">
    <w:abstractNumId w:val="202"/>
    <w:lvlOverride w:ilvl="0">
      <w:startOverride w:val="1"/>
    </w:lvlOverride>
  </w:num>
  <w:num w:numId="20">
    <w:abstractNumId w:val="202"/>
    <w:lvlOverride w:ilvl="0">
      <w:startOverride w:val="1"/>
    </w:lvlOverride>
  </w:num>
  <w:num w:numId="21">
    <w:abstractNumId w:val="202"/>
    <w:lvlOverride w:ilvl="0">
      <w:startOverride w:val="1"/>
    </w:lvlOverride>
  </w:num>
  <w:num w:numId="22">
    <w:abstractNumId w:val="20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  <w:lsdException w:name="Block Text" w:semiHidden="1" w:unhideWhenUsed="1"/>
    <w:lsdException w:name="Hyperlink" w:semiHidden="1" w:unhideWhenUsed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pace="4" w:sz="8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pace="4" w:sz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pace="0" w:sz="4"/>
        <w:left w:val="single" w:color="auto" w:space="0" w:sz="4"/>
        <w:bottom w:val="single" w:color="auto" w:space="0" w:sz="4"/>
        <w:right w:val="single" w:color="auto" w:space="0" w:sz="4"/>
        <w:insideH w:val="single" w:color="auto" w:space="0" w:sz="4"/>
        <w:insideV w:val="single" w:color="auto" w:space="0" w:sz="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pace="0" w:sz="8"/>
        <w:bottom w:val="single" w:color="000000" w:themeColor="tex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pace="0" w:sz="8"/>
          <w:left w:val="nil"/>
          <w:bottom w:val="single" w:color="000000" w:themeColor="text1" w:space="0" w:sz="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pace="0" w:sz="8"/>
          <w:left w:val="nil"/>
          <w:bottom w:val="single" w:color="000000" w:themeColor="text1" w:space="0" w:sz="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pace="0" w:sz="8"/>
        <w:bottom w:val="single" w:color="4F81BD" w:themeColor="accen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pace="0" w:sz="8"/>
          <w:left w:val="nil"/>
          <w:bottom w:val="single" w:color="4F81BD" w:themeColor="accent1" w:space="0" w:sz="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pace="0" w:sz="8"/>
          <w:left w:val="nil"/>
          <w:bottom w:val="single" w:color="4F81BD" w:themeColor="accent1" w:space="0" w:sz="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pace="0" w:sz="8"/>
        <w:bottom w:val="single" w:color="C0504D" w:themeColor="accent2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pace="0" w:sz="8"/>
          <w:left w:val="nil"/>
          <w:bottom w:val="single" w:color="C0504D" w:themeColor="accent2" w:space="0" w:sz="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pace="0" w:sz="8"/>
          <w:left w:val="nil"/>
          <w:bottom w:val="single" w:color="C0504D" w:themeColor="accent2" w:space="0" w:sz="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pace="0" w:sz="8"/>
        <w:bottom w:val="single" w:color="9BBB59" w:themeColor="accent3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pace="0" w:sz="8"/>
          <w:left w:val="nil"/>
          <w:bottom w:val="single" w:color="9BBB59" w:themeColor="accent3" w:space="0" w:sz="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pace="0" w:sz="8"/>
          <w:left w:val="nil"/>
          <w:bottom w:val="single" w:color="9BBB59" w:themeColor="accent3" w:space="0" w:sz="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pace="0" w:sz="8"/>
        <w:bottom w:val="single" w:color="8064A2" w:themeColor="accent4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pace="0" w:sz="8"/>
          <w:left w:val="nil"/>
          <w:bottom w:val="single" w:color="8064A2" w:themeColor="accent4" w:space="0" w:sz="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pace="0" w:sz="8"/>
          <w:left w:val="nil"/>
          <w:bottom w:val="single" w:color="8064A2" w:themeColor="accent4" w:space="0" w:sz="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pace="0" w:sz="8"/>
        <w:bottom w:val="single" w:color="4BACC6" w:themeColor="accent5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pace="0" w:sz="8"/>
          <w:left w:val="nil"/>
          <w:bottom w:val="single" w:color="4BACC6" w:themeColor="accent5" w:space="0" w:sz="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pace="0" w:sz="8"/>
          <w:left w:val="nil"/>
          <w:bottom w:val="single" w:color="4BACC6" w:themeColor="accent5" w:space="0" w:sz="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pace="0" w:sz="8"/>
        <w:bottom w:val="single" w:color="F79646" w:themeColor="accent6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pace="0" w:sz="8"/>
          <w:left w:val="nil"/>
          <w:bottom w:val="single" w:color="F79646" w:themeColor="accent6" w:space="0" w:sz="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pace="0" w:sz="8"/>
          <w:left w:val="nil"/>
          <w:bottom w:val="single" w:color="F79646" w:themeColor="accent6" w:space="0" w:sz="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pace="0" w:sz="8"/>
        <w:left w:val="single" w:color="000000" w:themeColor="text1" w:space="0" w:sz="8"/>
        <w:bottom w:val="single" w:color="000000" w:themeColor="text1" w:space="0" w:sz="8"/>
        <w:right w:val="single" w:color="000000" w:themeColor="tex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themeFill="text1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pace="0" w:sz="6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pace="0" w:sz="8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</w:tcBorders>
      </w:tcPr>
    </w:tblStylePr>
    <w:tblStylePr w:type="band1Horz">
      <w:tblPr/>
      <w:tcPr>
        <w:tcBorders>
          <w:top w:val="single" w:color="000000" w:themeColor="text1" w:space="0" w:sz="8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pace="0" w:sz="8"/>
        <w:left w:val="single" w:color="4F81BD" w:themeColor="accent1" w:space="0" w:sz="8"/>
        <w:bottom w:val="single" w:color="4F81BD" w:themeColor="accent1" w:space="0" w:sz="8"/>
        <w:right w:val="single" w:color="4F81BD" w:themeColor="accen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themeFill="accent1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pace="0" w:sz="6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pace="0" w:sz="8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</w:tcBorders>
      </w:tcPr>
    </w:tblStylePr>
    <w:tblStylePr w:type="band1Horz">
      <w:tblPr/>
      <w:tcPr>
        <w:tcBorders>
          <w:top w:val="single" w:color="4F81BD" w:themeColor="accent1" w:space="0" w:sz="8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pace="0" w:sz="8"/>
        <w:left w:val="single" w:color="C0504D" w:themeColor="accent2" w:space="0" w:sz="8"/>
        <w:bottom w:val="single" w:color="C0504D" w:themeColor="accent2" w:space="0" w:sz="8"/>
        <w:right w:val="single" w:color="C0504D" w:themeColor="accent2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themeFill="accent2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pace="0" w:sz="6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pace="0" w:sz="8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</w:tcBorders>
      </w:tcPr>
    </w:tblStylePr>
    <w:tblStylePr w:type="band1Horz">
      <w:tblPr/>
      <w:tcPr>
        <w:tcBorders>
          <w:top w:val="single" w:color="C0504D" w:themeColor="accent2" w:space="0" w:sz="8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pace="0" w:sz="8"/>
        <w:left w:val="single" w:color="9BBB59" w:themeColor="accent3" w:space="0" w:sz="8"/>
        <w:bottom w:val="single" w:color="9BBB59" w:themeColor="accent3" w:space="0" w:sz="8"/>
        <w:right w:val="single" w:color="9BBB59" w:themeColor="accent3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themeFill="accent3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pace="0" w:sz="6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pace="0" w:sz="8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</w:tcBorders>
      </w:tcPr>
    </w:tblStylePr>
    <w:tblStylePr w:type="band1Horz">
      <w:tblPr/>
      <w:tcPr>
        <w:tcBorders>
          <w:top w:val="single" w:color="9BBB59" w:themeColor="accent3" w:space="0" w:sz="8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pace="0" w:sz="8"/>
        <w:left w:val="single" w:color="8064A2" w:themeColor="accent4" w:space="0" w:sz="8"/>
        <w:bottom w:val="single" w:color="8064A2" w:themeColor="accent4" w:space="0" w:sz="8"/>
        <w:right w:val="single" w:color="8064A2" w:themeColor="accent4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themeFill="accent4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pace="0" w:sz="6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pace="0" w:sz="8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</w:tcBorders>
      </w:tcPr>
    </w:tblStylePr>
    <w:tblStylePr w:type="band1Horz">
      <w:tblPr/>
      <w:tcPr>
        <w:tcBorders>
          <w:top w:val="single" w:color="8064A2" w:themeColor="accent4" w:space="0" w:sz="8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pace="0" w:sz="8"/>
        <w:left w:val="single" w:color="4BACC6" w:themeColor="accent5" w:space="0" w:sz="8"/>
        <w:bottom w:val="single" w:color="4BACC6" w:themeColor="accent5" w:space="0" w:sz="8"/>
        <w:right w:val="single" w:color="4BACC6" w:themeColor="accent5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themeFill="accent5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pace="0" w:sz="6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pace="0" w:sz="8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</w:tcBorders>
      </w:tcPr>
    </w:tblStylePr>
    <w:tblStylePr w:type="band1Horz">
      <w:tblPr/>
      <w:tcPr>
        <w:tcBorders>
          <w:top w:val="single" w:color="4BACC6" w:themeColor="accent5" w:space="0" w:sz="8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pace="0" w:sz="8"/>
        <w:left w:val="single" w:color="F79646" w:themeColor="accent6" w:space="0" w:sz="8"/>
        <w:bottom w:val="single" w:color="F79646" w:themeColor="accent6" w:space="0" w:sz="8"/>
        <w:right w:val="single" w:color="F79646" w:themeColor="accent6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themeFill="accent6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pace="0" w:sz="6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pace="0" w:sz="8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</w:tcBorders>
      </w:tcPr>
    </w:tblStylePr>
    <w:tblStylePr w:type="band1Horz">
      <w:tblPr/>
      <w:tcPr>
        <w:tcBorders>
          <w:top w:val="single" w:color="F79646" w:themeColor="accent6" w:space="0" w:sz="8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pace="0" w:sz="8"/>
        <w:left w:val="single" w:color="000000" w:themeColor="text1" w:space="0" w:sz="8"/>
        <w:bottom w:val="single" w:color="000000" w:themeColor="text1" w:space="0" w:sz="8"/>
        <w:right w:val="single" w:color="000000" w:themeColor="text1" w:space="0" w:sz="8"/>
        <w:insideH w:val="single" w:color="000000" w:themeColor="text1" w:space="0" w:sz="8"/>
        <w:insideV w:val="single" w:color="000000" w:themeColor="tex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pace="0" w:sz="8"/>
          <w:left w:val="single" w:color="000000" w:themeColor="text1" w:space="0" w:sz="8"/>
          <w:bottom w:val="single" w:color="000000" w:themeColor="text1" w:space="0" w:sz="18"/>
          <w:right w:val="single" w:color="000000" w:themeColor="text1" w:space="0" w:sz="8"/>
          <w:insideH w:val="nil"/>
          <w:insideV w:val="single" w:color="000000" w:themeColor="text1" w:space="0" w:sz="8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pace="0" w:sz="6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  <w:insideH w:val="nil"/>
          <w:insideV w:val="single" w:color="000000" w:themeColor="text1" w:space="0" w:sz="8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pace="0" w:sz="8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</w:tcBorders>
      </w:tcPr>
    </w:tblStylePr>
    <w:tblStylePr w:type="band1Vert">
      <w:tblPr/>
      <w:tcPr>
        <w:tcBorders>
          <w:top w:val="single" w:color="000000" w:themeColor="text1" w:space="0" w:sz="8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</w:tcBorders>
        <w:shd w:val="clear" w:color="auto" w:themeFill="text1" w:fill="C0C0C0" w:themeFillTint="3F"/>
      </w:tcPr>
    </w:tblStylePr>
    <w:tblStylePr w:type="band1Horz">
      <w:tblPr/>
      <w:tcPr>
        <w:tcBorders>
          <w:top w:val="single" w:color="000000" w:themeColor="text1" w:space="0" w:sz="8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  <w:insideV w:val="single" w:color="000000" w:themeColor="text1" w:space="0" w:sz="8"/>
        </w:tcBorders>
        <w:shd w:val="clear" w:color="auto" w:themeFill="text1" w:fill="C0C0C0" w:themeFillTint="3F"/>
      </w:tcPr>
    </w:tblStylePr>
    <w:tblStylePr w:type="band2Horz">
      <w:tblPr/>
      <w:tcPr>
        <w:tcBorders>
          <w:top w:val="single" w:color="000000" w:themeColor="text1" w:space="0" w:sz="8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  <w:insideV w:val="single" w:color="000000" w:themeColor="text1" w:space="0" w:sz="8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pace="0" w:sz="8"/>
        <w:left w:val="single" w:color="4F81BD" w:themeColor="accent1" w:space="0" w:sz="8"/>
        <w:bottom w:val="single" w:color="4F81BD" w:themeColor="accent1" w:space="0" w:sz="8"/>
        <w:right w:val="single" w:color="4F81BD" w:themeColor="accent1" w:space="0" w:sz="8"/>
        <w:insideH w:val="single" w:color="4F81BD" w:themeColor="accent1" w:space="0" w:sz="8"/>
        <w:insideV w:val="single" w:color="4F81BD" w:themeColor="accen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pace="0" w:sz="8"/>
          <w:left w:val="single" w:color="4F81BD" w:themeColor="accent1" w:space="0" w:sz="8"/>
          <w:bottom w:val="single" w:color="4F81BD" w:themeColor="accent1" w:space="0" w:sz="18"/>
          <w:right w:val="single" w:color="4F81BD" w:themeColor="accent1" w:space="0" w:sz="8"/>
          <w:insideH w:val="nil"/>
          <w:insideV w:val="single" w:color="4F81BD" w:themeColor="accent1" w:space="0" w:sz="8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pace="0" w:sz="6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  <w:insideH w:val="nil"/>
          <w:insideV w:val="single" w:color="4F81BD" w:themeColor="accent1" w:space="0" w:sz="8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pace="0" w:sz="8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</w:tcBorders>
      </w:tcPr>
    </w:tblStylePr>
    <w:tblStylePr w:type="band1Vert">
      <w:tblPr/>
      <w:tcPr>
        <w:tcBorders>
          <w:top w:val="single" w:color="4F81BD" w:themeColor="accent1" w:space="0" w:sz="8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</w:tcBorders>
        <w:shd w:val="clear" w:color="auto" w:themeFill="accent1" w:fill="D3DFEE" w:themeFillTint="3F"/>
      </w:tcPr>
    </w:tblStylePr>
    <w:tblStylePr w:type="band1Horz">
      <w:tblPr/>
      <w:tcPr>
        <w:tcBorders>
          <w:top w:val="single" w:color="4F81BD" w:themeColor="accent1" w:space="0" w:sz="8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  <w:insideV w:val="single" w:color="4F81BD" w:themeColor="accent1" w:space="0" w:sz="8"/>
        </w:tcBorders>
        <w:shd w:val="clear" w:color="auto" w:themeFill="accent1" w:fill="D3DFEE" w:themeFillTint="3F"/>
      </w:tcPr>
    </w:tblStylePr>
    <w:tblStylePr w:type="band2Horz">
      <w:tblPr/>
      <w:tcPr>
        <w:tcBorders>
          <w:top w:val="single" w:color="4F81BD" w:themeColor="accent1" w:space="0" w:sz="8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  <w:insideV w:val="single" w:color="4F81BD" w:themeColor="accent1" w:space="0" w:sz="8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pace="0" w:sz="8"/>
        <w:left w:val="single" w:color="C0504D" w:themeColor="accent2" w:space="0" w:sz="8"/>
        <w:bottom w:val="single" w:color="C0504D" w:themeColor="accent2" w:space="0" w:sz="8"/>
        <w:right w:val="single" w:color="C0504D" w:themeColor="accent2" w:space="0" w:sz="8"/>
        <w:insideH w:val="single" w:color="C0504D" w:themeColor="accent2" w:space="0" w:sz="8"/>
        <w:insideV w:val="single" w:color="C0504D" w:themeColor="accent2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pace="0" w:sz="8"/>
          <w:left w:val="single" w:color="C0504D" w:themeColor="accent2" w:space="0" w:sz="8"/>
          <w:bottom w:val="single" w:color="C0504D" w:themeColor="accent2" w:space="0" w:sz="18"/>
          <w:right w:val="single" w:color="C0504D" w:themeColor="accent2" w:space="0" w:sz="8"/>
          <w:insideH w:val="nil"/>
          <w:insideV w:val="single" w:color="C0504D" w:themeColor="accent2" w:space="0" w:sz="8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pace="0" w:sz="6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  <w:insideH w:val="nil"/>
          <w:insideV w:val="single" w:color="C0504D" w:themeColor="accent2" w:space="0" w:sz="8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pace="0" w:sz="8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</w:tcBorders>
      </w:tcPr>
    </w:tblStylePr>
    <w:tblStylePr w:type="band1Vert">
      <w:tblPr/>
      <w:tcPr>
        <w:tcBorders>
          <w:top w:val="single" w:color="C0504D" w:themeColor="accent2" w:space="0" w:sz="8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</w:tcBorders>
        <w:shd w:val="clear" w:color="auto" w:themeFill="accent2" w:fill="EFD3D2" w:themeFillTint="3F"/>
      </w:tcPr>
    </w:tblStylePr>
    <w:tblStylePr w:type="band1Horz">
      <w:tblPr/>
      <w:tcPr>
        <w:tcBorders>
          <w:top w:val="single" w:color="C0504D" w:themeColor="accent2" w:space="0" w:sz="8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  <w:insideV w:val="single" w:color="C0504D" w:themeColor="accent2" w:space="0" w:sz="8"/>
        </w:tcBorders>
        <w:shd w:val="clear" w:color="auto" w:themeFill="accent2" w:fill="EFD3D2" w:themeFillTint="3F"/>
      </w:tcPr>
    </w:tblStylePr>
    <w:tblStylePr w:type="band2Horz">
      <w:tblPr/>
      <w:tcPr>
        <w:tcBorders>
          <w:top w:val="single" w:color="C0504D" w:themeColor="accent2" w:space="0" w:sz="8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  <w:insideV w:val="single" w:color="C0504D" w:themeColor="accent2" w:space="0" w:sz="8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pace="0" w:sz="8"/>
        <w:left w:val="single" w:color="9BBB59" w:themeColor="accent3" w:space="0" w:sz="8"/>
        <w:bottom w:val="single" w:color="9BBB59" w:themeColor="accent3" w:space="0" w:sz="8"/>
        <w:right w:val="single" w:color="9BBB59" w:themeColor="accent3" w:space="0" w:sz="8"/>
        <w:insideH w:val="single" w:color="9BBB59" w:themeColor="accent3" w:space="0" w:sz="8"/>
        <w:insideV w:val="single" w:color="9BBB59" w:themeColor="accent3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pace="0" w:sz="8"/>
          <w:left w:val="single" w:color="9BBB59" w:themeColor="accent3" w:space="0" w:sz="8"/>
          <w:bottom w:val="single" w:color="9BBB59" w:themeColor="accent3" w:space="0" w:sz="18"/>
          <w:right w:val="single" w:color="9BBB59" w:themeColor="accent3" w:space="0" w:sz="8"/>
          <w:insideH w:val="nil"/>
          <w:insideV w:val="single" w:color="9BBB59" w:themeColor="accent3" w:space="0" w:sz="8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pace="0" w:sz="6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  <w:insideH w:val="nil"/>
          <w:insideV w:val="single" w:color="9BBB59" w:themeColor="accent3" w:space="0" w:sz="8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pace="0" w:sz="8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</w:tcBorders>
      </w:tcPr>
    </w:tblStylePr>
    <w:tblStylePr w:type="band1Vert">
      <w:tblPr/>
      <w:tcPr>
        <w:tcBorders>
          <w:top w:val="single" w:color="9BBB59" w:themeColor="accent3" w:space="0" w:sz="8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</w:tcBorders>
        <w:shd w:val="clear" w:color="auto" w:themeFill="accent3" w:fill="E6EED5" w:themeFillTint="3F"/>
      </w:tcPr>
    </w:tblStylePr>
    <w:tblStylePr w:type="band1Horz">
      <w:tblPr/>
      <w:tcPr>
        <w:tcBorders>
          <w:top w:val="single" w:color="9BBB59" w:themeColor="accent3" w:space="0" w:sz="8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  <w:insideV w:val="single" w:color="9BBB59" w:themeColor="accent3" w:space="0" w:sz="8"/>
        </w:tcBorders>
        <w:shd w:val="clear" w:color="auto" w:themeFill="accent3" w:fill="E6EED5" w:themeFillTint="3F"/>
      </w:tcPr>
    </w:tblStylePr>
    <w:tblStylePr w:type="band2Horz">
      <w:tblPr/>
      <w:tcPr>
        <w:tcBorders>
          <w:top w:val="single" w:color="9BBB59" w:themeColor="accent3" w:space="0" w:sz="8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  <w:insideV w:val="single" w:color="9BBB59" w:themeColor="accent3" w:space="0" w:sz="8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pace="0" w:sz="8"/>
        <w:left w:val="single" w:color="8064A2" w:themeColor="accent4" w:space="0" w:sz="8"/>
        <w:bottom w:val="single" w:color="8064A2" w:themeColor="accent4" w:space="0" w:sz="8"/>
        <w:right w:val="single" w:color="8064A2" w:themeColor="accent4" w:space="0" w:sz="8"/>
        <w:insideH w:val="single" w:color="8064A2" w:themeColor="accent4" w:space="0" w:sz="8"/>
        <w:insideV w:val="single" w:color="8064A2" w:themeColor="accent4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pace="0" w:sz="8"/>
          <w:left w:val="single" w:color="8064A2" w:themeColor="accent4" w:space="0" w:sz="8"/>
          <w:bottom w:val="single" w:color="8064A2" w:themeColor="accent4" w:space="0" w:sz="18"/>
          <w:right w:val="single" w:color="8064A2" w:themeColor="accent4" w:space="0" w:sz="8"/>
          <w:insideH w:val="nil"/>
          <w:insideV w:val="single" w:color="8064A2" w:themeColor="accent4" w:space="0" w:sz="8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pace="0" w:sz="6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  <w:insideH w:val="nil"/>
          <w:insideV w:val="single" w:color="8064A2" w:themeColor="accent4" w:space="0" w:sz="8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pace="0" w:sz="8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</w:tcBorders>
      </w:tcPr>
    </w:tblStylePr>
    <w:tblStylePr w:type="band1Vert">
      <w:tblPr/>
      <w:tcPr>
        <w:tcBorders>
          <w:top w:val="single" w:color="8064A2" w:themeColor="accent4" w:space="0" w:sz="8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</w:tcBorders>
        <w:shd w:val="clear" w:color="auto" w:themeFill="accent4" w:fill="DFD8E8" w:themeFillTint="3F"/>
      </w:tcPr>
    </w:tblStylePr>
    <w:tblStylePr w:type="band1Horz">
      <w:tblPr/>
      <w:tcPr>
        <w:tcBorders>
          <w:top w:val="single" w:color="8064A2" w:themeColor="accent4" w:space="0" w:sz="8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  <w:insideV w:val="single" w:color="8064A2" w:themeColor="accent4" w:space="0" w:sz="8"/>
        </w:tcBorders>
        <w:shd w:val="clear" w:color="auto" w:themeFill="accent4" w:fill="DFD8E8" w:themeFillTint="3F"/>
      </w:tcPr>
    </w:tblStylePr>
    <w:tblStylePr w:type="band2Horz">
      <w:tblPr/>
      <w:tcPr>
        <w:tcBorders>
          <w:top w:val="single" w:color="8064A2" w:themeColor="accent4" w:space="0" w:sz="8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  <w:insideV w:val="single" w:color="8064A2" w:themeColor="accent4" w:space="0" w:sz="8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pace="0" w:sz="8"/>
        <w:left w:val="single" w:color="4BACC6" w:themeColor="accent5" w:space="0" w:sz="8"/>
        <w:bottom w:val="single" w:color="4BACC6" w:themeColor="accent5" w:space="0" w:sz="8"/>
        <w:right w:val="single" w:color="4BACC6" w:themeColor="accent5" w:space="0" w:sz="8"/>
        <w:insideH w:val="single" w:color="4BACC6" w:themeColor="accent5" w:space="0" w:sz="8"/>
        <w:insideV w:val="single" w:color="4BACC6" w:themeColor="accent5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pace="0" w:sz="8"/>
          <w:left w:val="single" w:color="4BACC6" w:themeColor="accent5" w:space="0" w:sz="8"/>
          <w:bottom w:val="single" w:color="4BACC6" w:themeColor="accent5" w:space="0" w:sz="18"/>
          <w:right w:val="single" w:color="4BACC6" w:themeColor="accent5" w:space="0" w:sz="8"/>
          <w:insideH w:val="nil"/>
          <w:insideV w:val="single" w:color="4BACC6" w:themeColor="accent5" w:space="0" w:sz="8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pace="0" w:sz="6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  <w:insideH w:val="nil"/>
          <w:insideV w:val="single" w:color="4BACC6" w:themeColor="accent5" w:space="0" w:sz="8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pace="0" w:sz="8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</w:tcBorders>
      </w:tcPr>
    </w:tblStylePr>
    <w:tblStylePr w:type="band1Vert">
      <w:tblPr/>
      <w:tcPr>
        <w:tcBorders>
          <w:top w:val="single" w:color="4BACC6" w:themeColor="accent5" w:space="0" w:sz="8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</w:tcBorders>
        <w:shd w:val="clear" w:color="auto" w:themeFill="accent5" w:fill="D2EAF1" w:themeFillTint="3F"/>
      </w:tcPr>
    </w:tblStylePr>
    <w:tblStylePr w:type="band1Horz">
      <w:tblPr/>
      <w:tcPr>
        <w:tcBorders>
          <w:top w:val="single" w:color="4BACC6" w:themeColor="accent5" w:space="0" w:sz="8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  <w:insideV w:val="single" w:color="4BACC6" w:themeColor="accent5" w:space="0" w:sz="8"/>
        </w:tcBorders>
        <w:shd w:val="clear" w:color="auto" w:themeFill="accent5" w:fill="D2EAF1" w:themeFillTint="3F"/>
      </w:tcPr>
    </w:tblStylePr>
    <w:tblStylePr w:type="band2Horz">
      <w:tblPr/>
      <w:tcPr>
        <w:tcBorders>
          <w:top w:val="single" w:color="4BACC6" w:themeColor="accent5" w:space="0" w:sz="8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  <w:insideV w:val="single" w:color="4BACC6" w:themeColor="accent5" w:space="0" w:sz="8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pace="0" w:sz="8"/>
        <w:left w:val="single" w:color="F79646" w:themeColor="accent6" w:space="0" w:sz="8"/>
        <w:bottom w:val="single" w:color="F79646" w:themeColor="accent6" w:space="0" w:sz="8"/>
        <w:right w:val="single" w:color="F79646" w:themeColor="accent6" w:space="0" w:sz="8"/>
        <w:insideH w:val="single" w:color="F79646" w:themeColor="accent6" w:space="0" w:sz="8"/>
        <w:insideV w:val="single" w:color="F79646" w:themeColor="accent6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pace="0" w:sz="8"/>
          <w:left w:val="single" w:color="F79646" w:themeColor="accent6" w:space="0" w:sz="8"/>
          <w:bottom w:val="single" w:color="F79646" w:themeColor="accent6" w:space="0" w:sz="18"/>
          <w:right w:val="single" w:color="F79646" w:themeColor="accent6" w:space="0" w:sz="8"/>
          <w:insideH w:val="nil"/>
          <w:insideV w:val="single" w:color="F79646" w:themeColor="accent6" w:space="0" w:sz="8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pace="0" w:sz="6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  <w:insideH w:val="nil"/>
          <w:insideV w:val="single" w:color="F79646" w:themeColor="accent6" w:space="0" w:sz="8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pace="0" w:sz="8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</w:tcBorders>
      </w:tcPr>
    </w:tblStylePr>
    <w:tblStylePr w:type="band1Vert">
      <w:tblPr/>
      <w:tcPr>
        <w:tcBorders>
          <w:top w:val="single" w:color="F79646" w:themeColor="accent6" w:space="0" w:sz="8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</w:tcBorders>
        <w:shd w:val="clear" w:color="auto" w:themeFill="accent6" w:fill="FDE4D0" w:themeFillTint="3F"/>
      </w:tcPr>
    </w:tblStylePr>
    <w:tblStylePr w:type="band1Horz">
      <w:tblPr/>
      <w:tcPr>
        <w:tcBorders>
          <w:top w:val="single" w:color="F79646" w:themeColor="accent6" w:space="0" w:sz="8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  <w:insideV w:val="single" w:color="F79646" w:themeColor="accent6" w:space="0" w:sz="8"/>
        </w:tcBorders>
        <w:shd w:val="clear" w:color="auto" w:themeFill="accent6" w:fill="FDE4D0" w:themeFillTint="3F"/>
      </w:tcPr>
    </w:tblStylePr>
    <w:tblStylePr w:type="band2Horz">
      <w:tblPr/>
      <w:tcPr>
        <w:tcBorders>
          <w:top w:val="single" w:color="F79646" w:themeColor="accent6" w:space="0" w:sz="8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  <w:insideV w:val="single" w:color="F79646" w:themeColor="accent6" w:space="0" w:sz="8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pace="0" w:sz="8"/>
        <w:left w:val="single" w:color="404040" w:themeColor="text1" w:themeTint="BF" w:space="0" w:sz="8"/>
        <w:bottom w:val="single" w:color="404040" w:themeColor="text1" w:themeTint="BF" w:space="0" w:sz="8"/>
        <w:right w:val="single" w:color="404040" w:themeColor="text1" w:themeTint="BF" w:space="0" w:sz="8"/>
        <w:insideH w:val="single" w:color="404040" w:themeColor="text1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pace="0" w:sz="8"/>
          <w:left w:val="single" w:color="404040" w:themeColor="text1" w:themeTint="BF" w:space="0" w:sz="8"/>
          <w:bottom w:val="single" w:color="404040" w:themeColor="text1" w:themeTint="BF" w:space="0" w:sz="8"/>
          <w:right w:val="single" w:color="404040" w:themeColor="text1" w:themeTint="BF" w:space="0" w:sz="8"/>
          <w:insideH w:val="nil"/>
          <w:insideV w:val="nil"/>
        </w:tcBorders>
        <w:shd w:val="clear" w:color="auto" w:themeFill="text1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pace="0" w:sz="6"/>
          <w:left w:val="single" w:color="404040" w:themeColor="text1" w:themeTint="BF" w:space="0" w:sz="8"/>
          <w:bottom w:val="single" w:color="404040" w:themeColor="text1" w:themeTint="BF" w:space="0" w:sz="8"/>
          <w:right w:val="single" w:color="404040" w:themeColor="text1" w:themeTint="BF" w:space="0" w:sz="8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text1" w:fill="C0C0C0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text1" w:fill="C0C0C0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pace="0" w:sz="8"/>
        <w:left w:val="single" w:color="7BA0CD" w:themeColor="accent1" w:themeTint="BF" w:space="0" w:sz="8"/>
        <w:bottom w:val="single" w:color="7BA0CD" w:themeColor="accent1" w:themeTint="BF" w:space="0" w:sz="8"/>
        <w:right w:val="single" w:color="7BA0CD" w:themeColor="accent1" w:themeTint="BF" w:space="0" w:sz="8"/>
        <w:insideH w:val="single" w:color="7BA0CD" w:themeColor="accent1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pace="0" w:sz="8"/>
          <w:left w:val="single" w:color="7BA0CD" w:themeColor="accent1" w:themeTint="BF" w:space="0" w:sz="8"/>
          <w:bottom w:val="single" w:color="7BA0CD" w:themeColor="accent1" w:themeTint="BF" w:space="0" w:sz="8"/>
          <w:right w:val="single" w:color="7BA0CD" w:themeColor="accent1" w:themeTint="BF" w:space="0" w:sz="8"/>
          <w:insideH w:val="nil"/>
          <w:insideV w:val="nil"/>
        </w:tcBorders>
        <w:shd w:val="clear" w:color="auto" w:themeFill="accent1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pace="0" w:sz="6"/>
          <w:left w:val="single" w:color="7BA0CD" w:themeColor="accent1" w:themeTint="BF" w:space="0" w:sz="8"/>
          <w:bottom w:val="single" w:color="7BA0CD" w:themeColor="accent1" w:themeTint="BF" w:space="0" w:sz="8"/>
          <w:right w:val="single" w:color="7BA0CD" w:themeColor="accent1" w:themeTint="BF" w:space="0" w:sz="8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1" w:fill="D3DFEE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1" w:fill="D3DFEE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pace="0" w:sz="8"/>
        <w:left w:val="single" w:color="CF7B79" w:themeColor="accent2" w:themeTint="BF" w:space="0" w:sz="8"/>
        <w:bottom w:val="single" w:color="CF7B79" w:themeColor="accent2" w:themeTint="BF" w:space="0" w:sz="8"/>
        <w:right w:val="single" w:color="CF7B79" w:themeColor="accent2" w:themeTint="BF" w:space="0" w:sz="8"/>
        <w:insideH w:val="single" w:color="CF7B79" w:themeColor="accent2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pace="0" w:sz="8"/>
          <w:left w:val="single" w:color="CF7B79" w:themeColor="accent2" w:themeTint="BF" w:space="0" w:sz="8"/>
          <w:bottom w:val="single" w:color="CF7B79" w:themeColor="accent2" w:themeTint="BF" w:space="0" w:sz="8"/>
          <w:right w:val="single" w:color="CF7B79" w:themeColor="accent2" w:themeTint="BF" w:space="0" w:sz="8"/>
          <w:insideH w:val="nil"/>
          <w:insideV w:val="nil"/>
        </w:tcBorders>
        <w:shd w:val="clear" w:color="auto" w:themeFill="accent2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pace="0" w:sz="6"/>
          <w:left w:val="single" w:color="CF7B79" w:themeColor="accent2" w:themeTint="BF" w:space="0" w:sz="8"/>
          <w:bottom w:val="single" w:color="CF7B79" w:themeColor="accent2" w:themeTint="BF" w:space="0" w:sz="8"/>
          <w:right w:val="single" w:color="CF7B79" w:themeColor="accent2" w:themeTint="BF" w:space="0" w:sz="8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2" w:fill="EFD3D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2" w:fill="EFD3D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pace="0" w:sz="8"/>
        <w:left w:val="single" w:color="B3CC82" w:themeColor="accent3" w:themeTint="BF" w:space="0" w:sz="8"/>
        <w:bottom w:val="single" w:color="B3CC82" w:themeColor="accent3" w:themeTint="BF" w:space="0" w:sz="8"/>
        <w:right w:val="single" w:color="B3CC82" w:themeColor="accent3" w:themeTint="BF" w:space="0" w:sz="8"/>
        <w:insideH w:val="single" w:color="B3CC82" w:themeColor="accent3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pace="0" w:sz="8"/>
          <w:left w:val="single" w:color="B3CC82" w:themeColor="accent3" w:themeTint="BF" w:space="0" w:sz="8"/>
          <w:bottom w:val="single" w:color="B3CC82" w:themeColor="accent3" w:themeTint="BF" w:space="0" w:sz="8"/>
          <w:right w:val="single" w:color="B3CC82" w:themeColor="accent3" w:themeTint="BF" w:space="0" w:sz="8"/>
          <w:insideH w:val="nil"/>
          <w:insideV w:val="nil"/>
        </w:tcBorders>
        <w:shd w:val="clear" w:color="auto" w:themeFill="accent3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pace="0" w:sz="6"/>
          <w:left w:val="single" w:color="B3CC82" w:themeColor="accent3" w:themeTint="BF" w:space="0" w:sz="8"/>
          <w:bottom w:val="single" w:color="B3CC82" w:themeColor="accent3" w:themeTint="BF" w:space="0" w:sz="8"/>
          <w:right w:val="single" w:color="B3CC82" w:themeColor="accent3" w:themeTint="BF" w:space="0" w:sz="8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3" w:fill="E6EED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3" w:fill="E6EED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pace="0" w:sz="8"/>
        <w:left w:val="single" w:color="9F8AB9" w:themeColor="accent4" w:themeTint="BF" w:space="0" w:sz="8"/>
        <w:bottom w:val="single" w:color="9F8AB9" w:themeColor="accent4" w:themeTint="BF" w:space="0" w:sz="8"/>
        <w:right w:val="single" w:color="9F8AB9" w:themeColor="accent4" w:themeTint="BF" w:space="0" w:sz="8"/>
        <w:insideH w:val="single" w:color="9F8AB9" w:themeColor="accent4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pace="0" w:sz="8"/>
          <w:left w:val="single" w:color="9F8AB9" w:themeColor="accent4" w:themeTint="BF" w:space="0" w:sz="8"/>
          <w:bottom w:val="single" w:color="9F8AB9" w:themeColor="accent4" w:themeTint="BF" w:space="0" w:sz="8"/>
          <w:right w:val="single" w:color="9F8AB9" w:themeColor="accent4" w:themeTint="BF" w:space="0" w:sz="8"/>
          <w:insideH w:val="nil"/>
          <w:insideV w:val="nil"/>
        </w:tcBorders>
        <w:shd w:val="clear" w:color="auto" w:themeFill="accent4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pace="0" w:sz="6"/>
          <w:left w:val="single" w:color="9F8AB9" w:themeColor="accent4" w:themeTint="BF" w:space="0" w:sz="8"/>
          <w:bottom w:val="single" w:color="9F8AB9" w:themeColor="accent4" w:themeTint="BF" w:space="0" w:sz="8"/>
          <w:right w:val="single" w:color="9F8AB9" w:themeColor="accent4" w:themeTint="BF" w:space="0" w:sz="8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4" w:fill="DFD8E8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4" w:fill="DFD8E8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pace="0" w:sz="8"/>
        <w:left w:val="single" w:color="78C0D4" w:themeColor="accent5" w:themeTint="BF" w:space="0" w:sz="8"/>
        <w:bottom w:val="single" w:color="78C0D4" w:themeColor="accent5" w:themeTint="BF" w:space="0" w:sz="8"/>
        <w:right w:val="single" w:color="78C0D4" w:themeColor="accent5" w:themeTint="BF" w:space="0" w:sz="8"/>
        <w:insideH w:val="single" w:color="78C0D4" w:themeColor="accent5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pace="0" w:sz="8"/>
          <w:left w:val="single" w:color="78C0D4" w:themeColor="accent5" w:themeTint="BF" w:space="0" w:sz="8"/>
          <w:bottom w:val="single" w:color="78C0D4" w:themeColor="accent5" w:themeTint="BF" w:space="0" w:sz="8"/>
          <w:right w:val="single" w:color="78C0D4" w:themeColor="accent5" w:themeTint="BF" w:space="0" w:sz="8"/>
          <w:insideH w:val="nil"/>
          <w:insideV w:val="nil"/>
        </w:tcBorders>
        <w:shd w:val="clear" w:color="auto" w:themeFill="accent5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pace="0" w:sz="6"/>
          <w:left w:val="single" w:color="78C0D4" w:themeColor="accent5" w:themeTint="BF" w:space="0" w:sz="8"/>
          <w:bottom w:val="single" w:color="78C0D4" w:themeColor="accent5" w:themeTint="BF" w:space="0" w:sz="8"/>
          <w:right w:val="single" w:color="78C0D4" w:themeColor="accent5" w:themeTint="BF" w:space="0" w:sz="8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5" w:fill="D2EAF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5" w:fill="D2EAF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pace="0" w:sz="8"/>
        <w:left w:val="single" w:color="F9B074" w:themeColor="accent6" w:themeTint="BF" w:space="0" w:sz="8"/>
        <w:bottom w:val="single" w:color="F9B074" w:themeColor="accent6" w:themeTint="BF" w:space="0" w:sz="8"/>
        <w:right w:val="single" w:color="F9B074" w:themeColor="accent6" w:themeTint="BF" w:space="0" w:sz="8"/>
        <w:insideH w:val="single" w:color="F9B074" w:themeColor="accent6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pace="0" w:sz="8"/>
          <w:left w:val="single" w:color="F9B074" w:themeColor="accent6" w:themeTint="BF" w:space="0" w:sz="8"/>
          <w:bottom w:val="single" w:color="F9B074" w:themeColor="accent6" w:themeTint="BF" w:space="0" w:sz="8"/>
          <w:right w:val="single" w:color="F9B074" w:themeColor="accent6" w:themeTint="BF" w:space="0" w:sz="8"/>
          <w:insideH w:val="nil"/>
          <w:insideV w:val="nil"/>
        </w:tcBorders>
        <w:shd w:val="clear" w:color="auto" w:themeFill="accent6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pace="0" w:sz="6"/>
          <w:left w:val="single" w:color="F9B074" w:themeColor="accent6" w:themeTint="BF" w:space="0" w:sz="8"/>
          <w:bottom w:val="single" w:color="F9B074" w:themeColor="accent6" w:themeTint="BF" w:space="0" w:sz="8"/>
          <w:right w:val="single" w:color="F9B074" w:themeColor="accent6" w:themeTint="BF" w:space="0" w:sz="8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6" w:fill="FDE4D0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6" w:fill="FDE4D0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pace="0" w:sz="18"/>
        <w:bottom w:val="single" w:color="auto" w:space="0" w:sz="1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pace="0" w:sz="6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pace="0" w:sz="18"/>
        <w:bottom w:val="single" w:color="auto" w:space="0" w:sz="1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1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pace="0" w:sz="6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1" w:fill="4F81BD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pace="0" w:sz="18"/>
        <w:bottom w:val="single" w:color="auto" w:space="0" w:sz="1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2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pace="0" w:sz="6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2" w:fill="C0504D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pace="0" w:sz="18"/>
        <w:bottom w:val="single" w:color="auto" w:space="0" w:sz="1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3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pace="0" w:sz="6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3" w:fill="9BBB59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pace="0" w:sz="18"/>
        <w:bottom w:val="single" w:color="auto" w:space="0" w:sz="1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4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pace="0" w:sz="6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4" w:fill="8064A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pace="0" w:sz="18"/>
        <w:bottom w:val="single" w:color="auto" w:space="0" w:sz="1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5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pace="0" w:sz="6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5" w:fill="4BACC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pace="0" w:sz="18"/>
        <w:bottom w:val="single" w:color="auto" w:space="0" w:sz="1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6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pace="0" w:sz="6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6" w:fill="F7964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pace="0" w:sz="8"/>
        <w:bottom w:val="single" w:color="000000" w:themeColor="tex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pace="0" w:sz="8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pace="0" w:sz="8"/>
          <w:bottom w:val="single" w:color="000000" w:themeColor="text1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pace="0" w:sz="8"/>
          <w:bottom w:val="single" w:color="000000" w:themeColor="text1" w:space="0" w:sz="8"/>
        </w:tcBorders>
      </w:tcPr>
    </w:tblStylePr>
    <w:tblStylePr w:type="band1Vert">
      <w:tblPr/>
      <w:tcPr>
        <w:shd w:val="clear" w:color="auto" w:themeFill="text1" w:fill="C0C0C0" w:themeFillTint="3F"/>
      </w:tcPr>
    </w:tblStylePr>
    <w:tblStylePr w:type="band1Horz">
      <w:tblPr/>
      <w:tcPr>
        <w:shd w:val="clear" w:color="auto" w:themeFill="text1" w:fill="C0C0C0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pace="0" w:sz="8"/>
        <w:bottom w:val="single" w:color="4F81BD" w:themeColor="accen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pace="0" w:sz="8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pace="0" w:sz="8"/>
          <w:bottom w:val="single" w:color="4F81BD" w:themeColor="accent1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pace="0" w:sz="8"/>
          <w:bottom w:val="single" w:color="4F81BD" w:themeColor="accent1" w:space="0" w:sz="8"/>
        </w:tcBorders>
      </w:tcPr>
    </w:tblStylePr>
    <w:tblStylePr w:type="band1Vert">
      <w:tblPr/>
      <w:tcPr>
        <w:shd w:val="clear" w:color="auto" w:themeFill="accent1" w:fill="D3DFEE" w:themeFillTint="3F"/>
      </w:tcPr>
    </w:tblStylePr>
    <w:tblStylePr w:type="band1Horz">
      <w:tblPr/>
      <w:tcPr>
        <w:shd w:val="clear" w:color="auto" w:themeFill="accent1" w:fill="D3DFEE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 w:sz="8"/>
        <w:bottom w:val="single" w:color="C0504D" w:themeColor="accent2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pace="0" w:sz="8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pace="0" w:sz="8"/>
          <w:bottom w:val="single" w:color="C0504D" w:themeColor="accent2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pace="0" w:sz="8"/>
          <w:bottom w:val="single" w:color="C0504D" w:themeColor="accent2" w:space="0" w:sz="8"/>
        </w:tcBorders>
      </w:tcPr>
    </w:tblStylePr>
    <w:tblStylePr w:type="band1Vert">
      <w:tblPr/>
      <w:tcPr>
        <w:shd w:val="clear" w:color="auto" w:themeFill="accent2" w:fill="EFD3D2" w:themeFillTint="3F"/>
      </w:tcPr>
    </w:tblStylePr>
    <w:tblStylePr w:type="band1Horz">
      <w:tblPr/>
      <w:tcPr>
        <w:shd w:val="clear" w:color="auto" w:themeFill="accent2" w:fill="EFD3D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 w:sz="8"/>
        <w:bottom w:val="single" w:color="9BBB59" w:themeColor="accent3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pace="0" w:sz="8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pace="0" w:sz="8"/>
          <w:bottom w:val="single" w:color="9BBB59" w:themeColor="accent3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pace="0" w:sz="8"/>
          <w:bottom w:val="single" w:color="9BBB59" w:themeColor="accent3" w:space="0" w:sz="8"/>
        </w:tcBorders>
      </w:tcPr>
    </w:tblStylePr>
    <w:tblStylePr w:type="band1Vert">
      <w:tblPr/>
      <w:tcPr>
        <w:shd w:val="clear" w:color="auto" w:themeFill="accent3" w:fill="E6EED5" w:themeFillTint="3F"/>
      </w:tcPr>
    </w:tblStylePr>
    <w:tblStylePr w:type="band1Horz">
      <w:tblPr/>
      <w:tcPr>
        <w:shd w:val="clear" w:color="auto" w:themeFill="accent3" w:fill="E6EED5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 w:sz="8"/>
        <w:bottom w:val="single" w:color="8064A2" w:themeColor="accent4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pace="0" w:sz="8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pace="0" w:sz="8"/>
          <w:bottom w:val="single" w:color="8064A2" w:themeColor="accent4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pace="0" w:sz="8"/>
          <w:bottom w:val="single" w:color="8064A2" w:themeColor="accent4" w:space="0" w:sz="8"/>
        </w:tcBorders>
      </w:tcPr>
    </w:tblStylePr>
    <w:tblStylePr w:type="band1Vert">
      <w:tblPr/>
      <w:tcPr>
        <w:shd w:val="clear" w:color="auto" w:themeFill="accent4" w:fill="DFD8E8" w:themeFillTint="3F"/>
      </w:tcPr>
    </w:tblStylePr>
    <w:tblStylePr w:type="band1Horz">
      <w:tblPr/>
      <w:tcPr>
        <w:shd w:val="clear" w:color="auto" w:themeFill="accent4" w:fill="DFD8E8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 w:sz="8"/>
        <w:bottom w:val="single" w:color="4BACC6" w:themeColor="accent5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pace="0" w:sz="8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pace="0" w:sz="8"/>
          <w:bottom w:val="single" w:color="4BACC6" w:themeColor="accent5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pace="0" w:sz="8"/>
          <w:bottom w:val="single" w:color="4BACC6" w:themeColor="accent5" w:space="0" w:sz="8"/>
        </w:tcBorders>
      </w:tcPr>
    </w:tblStylePr>
    <w:tblStylePr w:type="band1Vert">
      <w:tblPr/>
      <w:tcPr>
        <w:shd w:val="clear" w:color="auto" w:themeFill="accent5" w:fill="D2EAF1" w:themeFillTint="3F"/>
      </w:tcPr>
    </w:tblStylePr>
    <w:tblStylePr w:type="band1Horz">
      <w:tblPr/>
      <w:tcPr>
        <w:shd w:val="clear" w:color="auto" w:themeFill="accent5" w:fill="D2EAF1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 w:sz="8"/>
        <w:bottom w:val="single" w:color="F79646" w:themeColor="accent6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pace="0" w:sz="8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pace="0" w:sz="8"/>
          <w:bottom w:val="single" w:color="F79646" w:themeColor="accent6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pace="0" w:sz="8"/>
          <w:bottom w:val="single" w:color="F79646" w:themeColor="accent6" w:space="0" w:sz="8"/>
        </w:tcBorders>
      </w:tcPr>
    </w:tblStylePr>
    <w:tblStylePr w:type="band1Vert">
      <w:tblPr/>
      <w:tcPr>
        <w:shd w:val="clear" w:color="auto" w:themeFill="accent6" w:fill="FDE4D0" w:themeFillTint="3F"/>
      </w:tcPr>
    </w:tblStylePr>
    <w:tblStylePr w:type="band1Horz">
      <w:tblPr/>
      <w:tcPr>
        <w:shd w:val="clear" w:color="auto" w:themeFill="accent6" w:fill="FDE4D0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pace="0" w:sz="8"/>
        <w:left w:val="single" w:color="000000" w:themeColor="text1" w:space="0" w:sz="8"/>
        <w:bottom w:val="single" w:color="000000" w:themeColor="text1" w:space="0" w:sz="8"/>
        <w:right w:val="single" w:color="000000" w:themeColor="tex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000000" w:themeColor="text1" w:space="0" w:sz="8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pace="0" w:sz="8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000000" w:themeColor="text1" w:space="0" w:sz="8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text1" w:fill="C0C0C0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pace="0" w:sz="8"/>
        <w:left w:val="single" w:color="4F81BD" w:themeColor="accent1" w:space="0" w:sz="8"/>
        <w:bottom w:val="single" w:color="4F81BD" w:themeColor="accent1" w:space="0" w:sz="8"/>
        <w:right w:val="single" w:color="4F81BD" w:themeColor="accen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4F81BD" w:themeColor="accent1" w:space="0" w:sz="8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pace="0" w:sz="8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4F81BD" w:themeColor="accent1" w:space="0" w:sz="8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1" w:fill="D3DFEE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 w:sz="8"/>
        <w:left w:val="single" w:color="C0504D" w:themeColor="accent2" w:space="0" w:sz="8"/>
        <w:bottom w:val="single" w:color="C0504D" w:themeColor="accent2" w:space="0" w:sz="8"/>
        <w:right w:val="single" w:color="C0504D" w:themeColor="accent2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C0504D" w:themeColor="accent2" w:space="0" w:sz="8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pace="0" w:sz="8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C0504D" w:themeColor="accent2" w:space="0" w:sz="8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2" w:fill="EFD3D2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 w:sz="8"/>
        <w:left w:val="single" w:color="9BBB59" w:themeColor="accent3" w:space="0" w:sz="8"/>
        <w:bottom w:val="single" w:color="9BBB59" w:themeColor="accent3" w:space="0" w:sz="8"/>
        <w:right w:val="single" w:color="9BBB59" w:themeColor="accent3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9BBB59" w:themeColor="accent3" w:space="0" w:sz="8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pace="0" w:sz="8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9BBB59" w:themeColor="accent3" w:space="0" w:sz="8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3" w:fill="E6EED5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 w:sz="8"/>
        <w:left w:val="single" w:color="8064A2" w:themeColor="accent4" w:space="0" w:sz="8"/>
        <w:bottom w:val="single" w:color="8064A2" w:themeColor="accent4" w:space="0" w:sz="8"/>
        <w:right w:val="single" w:color="8064A2" w:themeColor="accent4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8064A2" w:themeColor="accent4" w:space="0" w:sz="8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pace="0" w:sz="8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8064A2" w:themeColor="accent4" w:space="0" w:sz="8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4" w:fill="DFD8E8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 w:sz="8"/>
        <w:left w:val="single" w:color="4BACC6" w:themeColor="accent5" w:space="0" w:sz="8"/>
        <w:bottom w:val="single" w:color="4BACC6" w:themeColor="accent5" w:space="0" w:sz="8"/>
        <w:right w:val="single" w:color="4BACC6" w:themeColor="accent5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4BACC6" w:themeColor="accent5" w:space="0" w:sz="8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pace="0" w:sz="8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4BACC6" w:themeColor="accent5" w:space="0" w:sz="8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5" w:fill="D2EAF1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 w:sz="8"/>
        <w:left w:val="single" w:color="F79646" w:themeColor="accent6" w:space="0" w:sz="8"/>
        <w:bottom w:val="single" w:color="F79646" w:themeColor="accent6" w:space="0" w:sz="8"/>
        <w:right w:val="single" w:color="F79646" w:themeColor="accent6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F79646" w:themeColor="accent6" w:space="0" w:sz="8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pace="0" w:sz="8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F79646" w:themeColor="accent6" w:space="0" w:sz="8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6" w:fill="FDE4D0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pace="0" w:sz="8"/>
        <w:left w:val="single" w:color="404040" w:themeColor="text1" w:themeTint="BF" w:space="0" w:sz="8"/>
        <w:bottom w:val="single" w:color="404040" w:themeColor="text1" w:themeTint="BF" w:space="0" w:sz="8"/>
        <w:right w:val="single" w:color="404040" w:themeColor="text1" w:themeTint="BF" w:space="0" w:sz="8"/>
        <w:insideH w:val="single" w:color="404040" w:themeColor="text1" w:themeTint="BF" w:space="0" w:sz="8"/>
        <w:insideV w:val="single" w:color="404040" w:themeColor="text1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0C0C0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pace="0" w:sz="1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text1" w:fill="808080" w:themeFillTint="7F"/>
      </w:tcPr>
    </w:tblStylePr>
    <w:tblStylePr w:type="band1Horz">
      <w:tblPr/>
      <w:tcPr>
        <w:shd w:val="clear" w:color="auto" w:themeFill="text1" w:fill="808080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pace="0" w:sz="8"/>
        <w:left w:val="single" w:color="7BA0CD" w:themeColor="accent1" w:themeTint="BF" w:space="0" w:sz="8"/>
        <w:bottom w:val="single" w:color="7BA0CD" w:themeColor="accent1" w:themeTint="BF" w:space="0" w:sz="8"/>
        <w:right w:val="single" w:color="7BA0CD" w:themeColor="accent1" w:themeTint="BF" w:space="0" w:sz="8"/>
        <w:insideH w:val="single" w:color="7BA0CD" w:themeColor="accent1" w:themeTint="BF" w:space="0" w:sz="8"/>
        <w:insideV w:val="single" w:color="7BA0CD" w:themeColor="accent1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3DFEE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pace="0" w:sz="1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1" w:fill="A7BFDE" w:themeFillTint="7F"/>
      </w:tcPr>
    </w:tblStylePr>
    <w:tblStylePr w:type="band1Horz">
      <w:tblPr/>
      <w:tcPr>
        <w:shd w:val="clear" w:color="auto" w:themeFill="accent1" w:fill="A7BFDE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pace="0" w:sz="8"/>
        <w:left w:val="single" w:color="CF7B79" w:themeColor="accent2" w:themeTint="BF" w:space="0" w:sz="8"/>
        <w:bottom w:val="single" w:color="CF7B79" w:themeColor="accent2" w:themeTint="BF" w:space="0" w:sz="8"/>
        <w:right w:val="single" w:color="CF7B79" w:themeColor="accent2" w:themeTint="BF" w:space="0" w:sz="8"/>
        <w:insideH w:val="single" w:color="CF7B79" w:themeColor="accent2" w:themeTint="BF" w:space="0" w:sz="8"/>
        <w:insideV w:val="single" w:color="CF7B79" w:themeColor="accent2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EFD3D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pace="0" w:sz="1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2" w:fill="DFA7A6" w:themeFillTint="7F"/>
      </w:tcPr>
    </w:tblStylePr>
    <w:tblStylePr w:type="band1Horz">
      <w:tblPr/>
      <w:tcPr>
        <w:shd w:val="clear" w:color="auto" w:themeFill="accent2" w:fill="DFA7A6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pace="0" w:sz="8"/>
        <w:left w:val="single" w:color="B3CC82" w:themeColor="accent3" w:themeTint="BF" w:space="0" w:sz="8"/>
        <w:bottom w:val="single" w:color="B3CC82" w:themeColor="accent3" w:themeTint="BF" w:space="0" w:sz="8"/>
        <w:right w:val="single" w:color="B3CC82" w:themeColor="accent3" w:themeTint="BF" w:space="0" w:sz="8"/>
        <w:insideH w:val="single" w:color="B3CC82" w:themeColor="accent3" w:themeTint="BF" w:space="0" w:sz="8"/>
        <w:insideV w:val="single" w:color="B3CC82" w:themeColor="accent3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6EED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pace="0" w:sz="1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3" w:fill="CDDDAC" w:themeFillTint="7F"/>
      </w:tcPr>
    </w:tblStylePr>
    <w:tblStylePr w:type="band1Horz">
      <w:tblPr/>
      <w:tcPr>
        <w:shd w:val="clear" w:color="auto" w:themeFill="accent3" w:fill="CDDDAC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pace="0" w:sz="8"/>
        <w:left w:val="single" w:color="9F8AB9" w:themeColor="accent4" w:themeTint="BF" w:space="0" w:sz="8"/>
        <w:bottom w:val="single" w:color="9F8AB9" w:themeColor="accent4" w:themeTint="BF" w:space="0" w:sz="8"/>
        <w:right w:val="single" w:color="9F8AB9" w:themeColor="accent4" w:themeTint="BF" w:space="0" w:sz="8"/>
        <w:insideH w:val="single" w:color="9F8AB9" w:themeColor="accent4" w:themeTint="BF" w:space="0" w:sz="8"/>
        <w:insideV w:val="single" w:color="9F8AB9" w:themeColor="accent4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DFD8E8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pace="0" w:sz="1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4" w:fill="BFB1D0" w:themeFillTint="7F"/>
      </w:tcPr>
    </w:tblStylePr>
    <w:tblStylePr w:type="band1Horz">
      <w:tblPr/>
      <w:tcPr>
        <w:shd w:val="clear" w:color="auto" w:themeFill="accent4" w:fill="BFB1D0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pace="0" w:sz="8"/>
        <w:left w:val="single" w:color="78C0D4" w:themeColor="accent5" w:themeTint="BF" w:space="0" w:sz="8"/>
        <w:bottom w:val="single" w:color="78C0D4" w:themeColor="accent5" w:themeTint="BF" w:space="0" w:sz="8"/>
        <w:right w:val="single" w:color="78C0D4" w:themeColor="accent5" w:themeTint="BF" w:space="0" w:sz="8"/>
        <w:insideH w:val="single" w:color="78C0D4" w:themeColor="accent5" w:themeTint="BF" w:space="0" w:sz="8"/>
        <w:insideV w:val="single" w:color="78C0D4" w:themeColor="accent5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2EAF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pace="0" w:sz="1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5" w:fill="A5D5E2" w:themeFillTint="7F"/>
      </w:tcPr>
    </w:tblStylePr>
    <w:tblStylePr w:type="band1Horz">
      <w:tblPr/>
      <w:tcPr>
        <w:shd w:val="clear" w:color="auto" w:themeFill="accent5" w:fill="A5D5E2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pace="0" w:sz="8"/>
        <w:left w:val="single" w:color="F9B074" w:themeColor="accent6" w:themeTint="BF" w:space="0" w:sz="8"/>
        <w:bottom w:val="single" w:color="F9B074" w:themeColor="accent6" w:themeTint="BF" w:space="0" w:sz="8"/>
        <w:right w:val="single" w:color="F9B074" w:themeColor="accent6" w:themeTint="BF" w:space="0" w:sz="8"/>
        <w:insideH w:val="single" w:color="F9B074" w:themeColor="accent6" w:themeTint="BF" w:space="0" w:sz="8"/>
        <w:insideV w:val="single" w:color="F9B074" w:themeColor="accent6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4D0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pace="0" w:sz="1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6" w:fill="FBCAA2" w:themeFillTint="7F"/>
      </w:tcPr>
    </w:tblStylePr>
    <w:tblStylePr w:type="band1Horz">
      <w:tblPr/>
      <w:tcPr>
        <w:shd w:val="clear" w:color="auto" w:themeFill="accent6" w:fill="FBCAA2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pace="0" w:sz="8"/>
        <w:left w:val="single" w:color="000000" w:themeColor="text1" w:space="0" w:sz="8"/>
        <w:bottom w:val="single" w:color="000000" w:themeColor="text1" w:space="0" w:sz="8"/>
        <w:right w:val="single" w:color="000000" w:themeColor="text1" w:space="0" w:sz="8"/>
        <w:insideH w:val="single" w:color="000000" w:themeColor="text1" w:space="0" w:sz="8"/>
        <w:insideV w:val="single" w:color="000000" w:themeColor="text1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0C0C0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text1" w:fill="E6E6E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 w:sz="12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CCCCCC" w:themeFillTint="33"/>
      </w:tcPr>
    </w:tblStylePr>
    <w:tblStylePr w:type="band1Vert">
      <w:tblPr/>
      <w:tcPr>
        <w:shd w:val="clear" w:color="auto" w:themeFill="text1" w:fill="808080" w:themeFillTint="7F"/>
      </w:tcPr>
    </w:tblStylePr>
    <w:tblStylePr w:type="band1Horz">
      <w:tblPr/>
      <w:tcPr>
        <w:tcBorders>
          <w:insideH w:val="single" w:color="000000" w:themeColor="text1" w:space="0" w:sz="6"/>
          <w:insideV w:val="single" w:color="000000" w:themeColor="text1" w:space="0" w:sz="6"/>
        </w:tcBorders>
        <w:shd w:val="clear" w:color="auto" w:themeFill="text1" w:fill="808080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pace="0" w:sz="8"/>
        <w:left w:val="single" w:color="4F81BD" w:themeColor="accent1" w:space="0" w:sz="8"/>
        <w:bottom w:val="single" w:color="4F81BD" w:themeColor="accent1" w:space="0" w:sz="8"/>
        <w:right w:val="single" w:color="4F81BD" w:themeColor="accent1" w:space="0" w:sz="8"/>
        <w:insideH w:val="single" w:color="4F81BD" w:themeColor="accent1" w:space="0" w:sz="8"/>
        <w:insideV w:val="single" w:color="4F81BD" w:themeColor="accent1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3DFEE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1" w:fill="EDF2F8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 w:sz="12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DBE5F1" w:themeFillTint="33"/>
      </w:tcPr>
    </w:tblStylePr>
    <w:tblStylePr w:type="band1Vert">
      <w:tblPr/>
      <w:tcPr>
        <w:shd w:val="clear" w:color="auto" w:themeFill="accent1" w:fill="A7BFDE" w:themeFillTint="7F"/>
      </w:tcPr>
    </w:tblStylePr>
    <w:tblStylePr w:type="band1Horz">
      <w:tblPr/>
      <w:tcPr>
        <w:tcBorders>
          <w:insideH w:val="single" w:color="4F81BD" w:themeColor="accent1" w:space="0" w:sz="6"/>
          <w:insideV w:val="single" w:color="4F81BD" w:themeColor="accent1" w:space="0" w:sz="6"/>
        </w:tcBorders>
        <w:shd w:val="clear" w:color="auto" w:themeFill="accent1" w:fill="A7BFDE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 w:sz="8"/>
        <w:left w:val="single" w:color="C0504D" w:themeColor="accent2" w:space="0" w:sz="8"/>
        <w:bottom w:val="single" w:color="C0504D" w:themeColor="accent2" w:space="0" w:sz="8"/>
        <w:right w:val="single" w:color="C0504D" w:themeColor="accent2" w:space="0" w:sz="8"/>
        <w:insideH w:val="single" w:color="C0504D" w:themeColor="accent2" w:space="0" w:sz="8"/>
        <w:insideV w:val="single" w:color="C0504D" w:themeColor="accent2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EFD3D2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2" w:fill="F8EDED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 w:sz="12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F2DBDB" w:themeFillTint="33"/>
      </w:tcPr>
    </w:tblStylePr>
    <w:tblStylePr w:type="band1Vert">
      <w:tblPr/>
      <w:tcPr>
        <w:shd w:val="clear" w:color="auto" w:themeFill="accent2" w:fill="DFA7A6" w:themeFillTint="7F"/>
      </w:tcPr>
    </w:tblStylePr>
    <w:tblStylePr w:type="band1Horz">
      <w:tblPr/>
      <w:tcPr>
        <w:tcBorders>
          <w:insideH w:val="single" w:color="C0504D" w:themeColor="accent2" w:space="0" w:sz="6"/>
          <w:insideV w:val="single" w:color="C0504D" w:themeColor="accent2" w:space="0" w:sz="6"/>
        </w:tcBorders>
        <w:shd w:val="clear" w:color="auto" w:themeFill="accent2" w:fill="DFA7A6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 w:sz="8"/>
        <w:left w:val="single" w:color="9BBB59" w:themeColor="accent3" w:space="0" w:sz="8"/>
        <w:bottom w:val="single" w:color="9BBB59" w:themeColor="accent3" w:space="0" w:sz="8"/>
        <w:right w:val="single" w:color="9BBB59" w:themeColor="accent3" w:space="0" w:sz="8"/>
        <w:insideH w:val="single" w:color="9BBB59" w:themeColor="accent3" w:space="0" w:sz="8"/>
        <w:insideV w:val="single" w:color="9BBB59" w:themeColor="accent3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6EED5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3" w:fill="F5F8EE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 w:sz="12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EAF1DD" w:themeFillTint="33"/>
      </w:tcPr>
    </w:tblStylePr>
    <w:tblStylePr w:type="band1Vert">
      <w:tblPr/>
      <w:tcPr>
        <w:shd w:val="clear" w:color="auto" w:themeFill="accent3" w:fill="CDDDAC" w:themeFillTint="7F"/>
      </w:tcPr>
    </w:tblStylePr>
    <w:tblStylePr w:type="band1Horz">
      <w:tblPr/>
      <w:tcPr>
        <w:tcBorders>
          <w:insideH w:val="single" w:color="9BBB59" w:themeColor="accent3" w:space="0" w:sz="6"/>
          <w:insideV w:val="single" w:color="9BBB59" w:themeColor="accent3" w:space="0" w:sz="6"/>
        </w:tcBorders>
        <w:shd w:val="clear" w:color="auto" w:themeFill="accent3" w:fill="CDDDAC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 w:sz="8"/>
        <w:left w:val="single" w:color="8064A2" w:themeColor="accent4" w:space="0" w:sz="8"/>
        <w:bottom w:val="single" w:color="8064A2" w:themeColor="accent4" w:space="0" w:sz="8"/>
        <w:right w:val="single" w:color="8064A2" w:themeColor="accent4" w:space="0" w:sz="8"/>
        <w:insideH w:val="single" w:color="8064A2" w:themeColor="accent4" w:space="0" w:sz="8"/>
        <w:insideV w:val="single" w:color="8064A2" w:themeColor="accent4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DFD8E8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4" w:fill="F2EFF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 w:sz="12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E5DFEC" w:themeFillTint="33"/>
      </w:tcPr>
    </w:tblStylePr>
    <w:tblStylePr w:type="band1Vert">
      <w:tblPr/>
      <w:tcPr>
        <w:shd w:val="clear" w:color="auto" w:themeFill="accent4" w:fill="BFB1D0" w:themeFillTint="7F"/>
      </w:tcPr>
    </w:tblStylePr>
    <w:tblStylePr w:type="band1Horz">
      <w:tblPr/>
      <w:tcPr>
        <w:tcBorders>
          <w:insideH w:val="single" w:color="8064A2" w:themeColor="accent4" w:space="0" w:sz="6"/>
          <w:insideV w:val="single" w:color="8064A2" w:themeColor="accent4" w:space="0" w:sz="6"/>
        </w:tcBorders>
        <w:shd w:val="clear" w:color="auto" w:themeFill="accent4" w:fill="BFB1D0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 w:sz="8"/>
        <w:left w:val="single" w:color="4BACC6" w:themeColor="accent5" w:space="0" w:sz="8"/>
        <w:bottom w:val="single" w:color="4BACC6" w:themeColor="accent5" w:space="0" w:sz="8"/>
        <w:right w:val="single" w:color="4BACC6" w:themeColor="accent5" w:space="0" w:sz="8"/>
        <w:insideH w:val="single" w:color="4BACC6" w:themeColor="accent5" w:space="0" w:sz="8"/>
        <w:insideV w:val="single" w:color="4BACC6" w:themeColor="accent5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2EAF1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5" w:fill="EDF6F9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 w:sz="12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DAEEF3" w:themeFillTint="33"/>
      </w:tcPr>
    </w:tblStylePr>
    <w:tblStylePr w:type="band1Vert">
      <w:tblPr/>
      <w:tcPr>
        <w:shd w:val="clear" w:color="auto" w:themeFill="accent5" w:fill="A5D5E2" w:themeFillTint="7F"/>
      </w:tcPr>
    </w:tblStylePr>
    <w:tblStylePr w:type="band1Horz">
      <w:tblPr/>
      <w:tcPr>
        <w:tcBorders>
          <w:insideH w:val="single" w:color="4BACC6" w:themeColor="accent5" w:space="0" w:sz="6"/>
          <w:insideV w:val="single" w:color="4BACC6" w:themeColor="accent5" w:space="0" w:sz="6"/>
        </w:tcBorders>
        <w:shd w:val="clear" w:color="auto" w:themeFill="accent5" w:fill="A5D5E2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 w:sz="8"/>
        <w:left w:val="single" w:color="F79646" w:themeColor="accent6" w:space="0" w:sz="8"/>
        <w:bottom w:val="single" w:color="F79646" w:themeColor="accent6" w:space="0" w:sz="8"/>
        <w:right w:val="single" w:color="F79646" w:themeColor="accent6" w:space="0" w:sz="8"/>
        <w:insideH w:val="single" w:color="F79646" w:themeColor="accent6" w:space="0" w:sz="8"/>
        <w:insideV w:val="single" w:color="F79646" w:themeColor="accent6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4D0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6" w:fill="FEF4EC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 w:sz="12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FDE9D9" w:themeFillTint="33"/>
      </w:tcPr>
    </w:tblStylePr>
    <w:tblStylePr w:type="band1Vert">
      <w:tblPr/>
      <w:tcPr>
        <w:shd w:val="clear" w:color="auto" w:themeFill="accent6" w:fill="FBCAA2" w:themeFillTint="7F"/>
      </w:tcPr>
    </w:tblStylePr>
    <w:tblStylePr w:type="band1Horz">
      <w:tblPr/>
      <w:tcPr>
        <w:tcBorders>
          <w:insideH w:val="single" w:color="F79646" w:themeColor="accent6" w:space="0" w:sz="6"/>
          <w:insideV w:val="single" w:color="F79646" w:themeColor="accent6" w:space="0" w:sz="6"/>
        </w:tcBorders>
        <w:shd w:val="clear" w:color="auto" w:themeFill="accent6" w:fill="FBCAA2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pace="0" w:sz="8"/>
        <w:left w:val="single" w:color="FFFFFF" w:themeColor="background1" w:space="0" w:sz="8"/>
        <w:bottom w:val="single" w:color="FFFFFF" w:themeColor="background1" w:space="0" w:sz="8"/>
        <w:right w:val="single" w:color="FFFFFF" w:themeColor="background1" w:space="0" w:sz="8"/>
        <w:insideH w:val="single" w:color="FFFFFF" w:themeColor="background1" w:space="0" w:sz="6"/>
        <w:insideV w:val="single" w:color="FFFFFF" w:themeColor="background1" w:space="0" w:sz="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0C0C0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24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text1" w:fill="000000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24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text1" w:fill="000000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 w:sz="8"/>
          <w:right w:val="single" w:color="FFFFFF" w:themeColor="background1" w:space="0" w:sz="24"/>
          <w:insideH w:val="nil"/>
          <w:insideV w:val="nil"/>
        </w:tcBorders>
        <w:shd w:val="clear" w:color="auto" w:themeFill="text1" w:fill="000000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 w:sz="24"/>
          <w:bottom w:val="nil"/>
          <w:right w:val="nil"/>
          <w:insideH w:val="nil"/>
          <w:insideV w:val="nil"/>
        </w:tcBorders>
        <w:shd w:val="clear" w:color="auto" w:themeFill="text1" w:fill="000000"/>
      </w:tcPr>
    </w:tblStylePr>
    <w:tblStylePr w:type="band1Vert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nil"/>
        </w:tcBorders>
        <w:shd w:val="clear" w:color="auto" w:themeFill="text1" w:fill="808080" w:themeFillTint="7F"/>
      </w:tcPr>
    </w:tblStylePr>
    <w:tblStylePr w:type="band1Horz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single" w:color="FFFFFF" w:themeColor="background1" w:space="0" w:sz="8"/>
          <w:insideV w:val="single" w:color="FFFFFF" w:themeColor="background1" w:space="0" w:sz="8"/>
        </w:tcBorders>
        <w:shd w:val="clear" w:color="auto" w:themeFill="text1" w:fill="808080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pace="0" w:sz="8"/>
        <w:left w:val="single" w:color="FFFFFF" w:themeColor="background1" w:space="0" w:sz="8"/>
        <w:bottom w:val="single" w:color="FFFFFF" w:themeColor="background1" w:space="0" w:sz="8"/>
        <w:right w:val="single" w:color="FFFFFF" w:themeColor="background1" w:space="0" w:sz="8"/>
        <w:insideH w:val="single" w:color="FFFFFF" w:themeColor="background1" w:space="0" w:sz="6"/>
        <w:insideV w:val="single" w:color="FFFFFF" w:themeColor="background1" w:space="0" w:sz="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3DFEE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24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1" w:fill="4F81BD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24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1" w:fill="4F81BD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 w:sz="8"/>
          <w:right w:val="single" w:color="FFFFFF" w:themeColor="background1" w:space="0" w:sz="24"/>
          <w:insideH w:val="nil"/>
          <w:insideV w:val="nil"/>
        </w:tcBorders>
        <w:shd w:val="clear" w:color="auto" w:themeFill="accent1" w:fill="4F81BD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 w:sz="24"/>
          <w:bottom w:val="nil"/>
          <w:right w:val="nil"/>
          <w:insideH w:val="nil"/>
          <w:insideV w:val="nil"/>
        </w:tcBorders>
        <w:shd w:val="clear" w:color="auto" w:themeFill="accent1" w:fill="4F81BD"/>
      </w:tcPr>
    </w:tblStylePr>
    <w:tblStylePr w:type="band1Vert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nil"/>
        </w:tcBorders>
        <w:shd w:val="clear" w:color="auto" w:themeFill="accent1" w:fill="A7BFDE" w:themeFillTint="7F"/>
      </w:tcPr>
    </w:tblStylePr>
    <w:tblStylePr w:type="band1Horz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single" w:color="FFFFFF" w:themeColor="background1" w:space="0" w:sz="8"/>
          <w:insideV w:val="single" w:color="FFFFFF" w:themeColor="background1" w:space="0" w:sz="8"/>
        </w:tcBorders>
        <w:shd w:val="clear" w:color="auto" w:themeFill="accent1" w:fill="A7BFDE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pace="0" w:sz="8"/>
        <w:left w:val="single" w:color="FFFFFF" w:themeColor="background1" w:space="0" w:sz="8"/>
        <w:bottom w:val="single" w:color="FFFFFF" w:themeColor="background1" w:space="0" w:sz="8"/>
        <w:right w:val="single" w:color="FFFFFF" w:themeColor="background1" w:space="0" w:sz="8"/>
        <w:insideH w:val="single" w:color="FFFFFF" w:themeColor="background1" w:space="0" w:sz="6"/>
        <w:insideV w:val="single" w:color="FFFFFF" w:themeColor="background1" w:space="0" w:sz="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EFD3D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24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2" w:fill="C0504D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24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2" w:fill="C0504D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 w:sz="8"/>
          <w:right w:val="single" w:color="FFFFFF" w:themeColor="background1" w:space="0" w:sz="24"/>
          <w:insideH w:val="nil"/>
          <w:insideV w:val="nil"/>
        </w:tcBorders>
        <w:shd w:val="clear" w:color="auto" w:themeFill="accent2" w:fill="C0504D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 w:sz="24"/>
          <w:bottom w:val="nil"/>
          <w:right w:val="nil"/>
          <w:insideH w:val="nil"/>
          <w:insideV w:val="nil"/>
        </w:tcBorders>
        <w:shd w:val="clear" w:color="auto" w:themeFill="accent2" w:fill="C0504D"/>
      </w:tcPr>
    </w:tblStylePr>
    <w:tblStylePr w:type="band1Vert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nil"/>
        </w:tcBorders>
        <w:shd w:val="clear" w:color="auto" w:themeFill="accent2" w:fill="DFA7A6" w:themeFillTint="7F"/>
      </w:tcPr>
    </w:tblStylePr>
    <w:tblStylePr w:type="band1Horz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single" w:color="FFFFFF" w:themeColor="background1" w:space="0" w:sz="8"/>
          <w:insideV w:val="single" w:color="FFFFFF" w:themeColor="background1" w:space="0" w:sz="8"/>
        </w:tcBorders>
        <w:shd w:val="clear" w:color="auto" w:themeFill="accent2" w:fill="DFA7A6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pace="0" w:sz="8"/>
        <w:left w:val="single" w:color="FFFFFF" w:themeColor="background1" w:space="0" w:sz="8"/>
        <w:bottom w:val="single" w:color="FFFFFF" w:themeColor="background1" w:space="0" w:sz="8"/>
        <w:right w:val="single" w:color="FFFFFF" w:themeColor="background1" w:space="0" w:sz="8"/>
        <w:insideH w:val="single" w:color="FFFFFF" w:themeColor="background1" w:space="0" w:sz="6"/>
        <w:insideV w:val="single" w:color="FFFFFF" w:themeColor="background1" w:space="0" w:sz="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6EED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24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3" w:fill="9BBB5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24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3" w:fill="9BBB5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 w:sz="8"/>
          <w:right w:val="single" w:color="FFFFFF" w:themeColor="background1" w:space="0" w:sz="24"/>
          <w:insideH w:val="nil"/>
          <w:insideV w:val="nil"/>
        </w:tcBorders>
        <w:shd w:val="clear" w:color="auto" w:themeFill="accent3" w:fill="9BBB5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 w:sz="24"/>
          <w:bottom w:val="nil"/>
          <w:right w:val="nil"/>
          <w:insideH w:val="nil"/>
          <w:insideV w:val="nil"/>
        </w:tcBorders>
        <w:shd w:val="clear" w:color="auto" w:themeFill="accent3" w:fill="9BBB59"/>
      </w:tcPr>
    </w:tblStylePr>
    <w:tblStylePr w:type="band1Vert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nil"/>
        </w:tcBorders>
        <w:shd w:val="clear" w:color="auto" w:themeFill="accent3" w:fill="CDDDAC" w:themeFillTint="7F"/>
      </w:tcPr>
    </w:tblStylePr>
    <w:tblStylePr w:type="band1Horz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single" w:color="FFFFFF" w:themeColor="background1" w:space="0" w:sz="8"/>
          <w:insideV w:val="single" w:color="FFFFFF" w:themeColor="background1" w:space="0" w:sz="8"/>
        </w:tcBorders>
        <w:shd w:val="clear" w:color="auto" w:themeFill="accent3" w:fill="CDDDAC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pace="0" w:sz="8"/>
        <w:left w:val="single" w:color="FFFFFF" w:themeColor="background1" w:space="0" w:sz="8"/>
        <w:bottom w:val="single" w:color="FFFFFF" w:themeColor="background1" w:space="0" w:sz="8"/>
        <w:right w:val="single" w:color="FFFFFF" w:themeColor="background1" w:space="0" w:sz="8"/>
        <w:insideH w:val="single" w:color="FFFFFF" w:themeColor="background1" w:space="0" w:sz="6"/>
        <w:insideV w:val="single" w:color="FFFFFF" w:themeColor="background1" w:space="0" w:sz="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DFD8E8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24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4" w:fill="8064A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24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4" w:fill="8064A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 w:sz="8"/>
          <w:right w:val="single" w:color="FFFFFF" w:themeColor="background1" w:space="0" w:sz="24"/>
          <w:insideH w:val="nil"/>
          <w:insideV w:val="nil"/>
        </w:tcBorders>
        <w:shd w:val="clear" w:color="auto" w:themeFill="accent4" w:fill="8064A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 w:sz="24"/>
          <w:bottom w:val="nil"/>
          <w:right w:val="nil"/>
          <w:insideH w:val="nil"/>
          <w:insideV w:val="nil"/>
        </w:tcBorders>
        <w:shd w:val="clear" w:color="auto" w:themeFill="accent4" w:fill="8064A2"/>
      </w:tcPr>
    </w:tblStylePr>
    <w:tblStylePr w:type="band1Vert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nil"/>
        </w:tcBorders>
        <w:shd w:val="clear" w:color="auto" w:themeFill="accent4" w:fill="BFB1D0" w:themeFillTint="7F"/>
      </w:tcPr>
    </w:tblStylePr>
    <w:tblStylePr w:type="band1Horz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single" w:color="FFFFFF" w:themeColor="background1" w:space="0" w:sz="8"/>
          <w:insideV w:val="single" w:color="FFFFFF" w:themeColor="background1" w:space="0" w:sz="8"/>
        </w:tcBorders>
        <w:shd w:val="clear" w:color="auto" w:themeFill="accent4" w:fill="BFB1D0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pace="0" w:sz="8"/>
        <w:left w:val="single" w:color="FFFFFF" w:themeColor="background1" w:space="0" w:sz="8"/>
        <w:bottom w:val="single" w:color="FFFFFF" w:themeColor="background1" w:space="0" w:sz="8"/>
        <w:right w:val="single" w:color="FFFFFF" w:themeColor="background1" w:space="0" w:sz="8"/>
        <w:insideH w:val="single" w:color="FFFFFF" w:themeColor="background1" w:space="0" w:sz="6"/>
        <w:insideV w:val="single" w:color="FFFFFF" w:themeColor="background1" w:space="0" w:sz="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2EAF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24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5" w:fill="4BACC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24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5" w:fill="4BACC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 w:sz="8"/>
          <w:right w:val="single" w:color="FFFFFF" w:themeColor="background1" w:space="0" w:sz="24"/>
          <w:insideH w:val="nil"/>
          <w:insideV w:val="nil"/>
        </w:tcBorders>
        <w:shd w:val="clear" w:color="auto" w:themeFill="accent5" w:fill="4BACC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 w:sz="24"/>
          <w:bottom w:val="nil"/>
          <w:right w:val="nil"/>
          <w:insideH w:val="nil"/>
          <w:insideV w:val="nil"/>
        </w:tcBorders>
        <w:shd w:val="clear" w:color="auto" w:themeFill="accent5" w:fill="4BACC6"/>
      </w:tcPr>
    </w:tblStylePr>
    <w:tblStylePr w:type="band1Vert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nil"/>
        </w:tcBorders>
        <w:shd w:val="clear" w:color="auto" w:themeFill="accent5" w:fill="A5D5E2" w:themeFillTint="7F"/>
      </w:tcPr>
    </w:tblStylePr>
    <w:tblStylePr w:type="band1Horz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single" w:color="FFFFFF" w:themeColor="background1" w:space="0" w:sz="8"/>
          <w:insideV w:val="single" w:color="FFFFFF" w:themeColor="background1" w:space="0" w:sz="8"/>
        </w:tcBorders>
        <w:shd w:val="clear" w:color="auto" w:themeFill="accent5" w:fill="A5D5E2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pace="0" w:sz="8"/>
        <w:left w:val="single" w:color="FFFFFF" w:themeColor="background1" w:space="0" w:sz="8"/>
        <w:bottom w:val="single" w:color="FFFFFF" w:themeColor="background1" w:space="0" w:sz="8"/>
        <w:right w:val="single" w:color="FFFFFF" w:themeColor="background1" w:space="0" w:sz="8"/>
        <w:insideH w:val="single" w:color="FFFFFF" w:themeColor="background1" w:space="0" w:sz="6"/>
        <w:insideV w:val="single" w:color="FFFFFF" w:themeColor="background1" w:space="0" w:sz="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4D0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24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6" w:fill="F7964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24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6" w:fill="F7964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 w:sz="8"/>
          <w:right w:val="single" w:color="FFFFFF" w:themeColor="background1" w:space="0" w:sz="24"/>
          <w:insideH w:val="nil"/>
          <w:insideV w:val="nil"/>
        </w:tcBorders>
        <w:shd w:val="clear" w:color="auto" w:themeFill="accent6" w:fill="F7964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 w:sz="24"/>
          <w:bottom w:val="nil"/>
          <w:right w:val="nil"/>
          <w:insideH w:val="nil"/>
          <w:insideV w:val="nil"/>
        </w:tcBorders>
        <w:shd w:val="clear" w:color="auto" w:themeFill="accent6" w:fill="F79646"/>
      </w:tcPr>
    </w:tblStylePr>
    <w:tblStylePr w:type="band1Vert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nil"/>
        </w:tcBorders>
        <w:shd w:val="clear" w:color="auto" w:themeFill="accent6" w:fill="FBCAA2" w:themeFillTint="7F"/>
      </w:tcPr>
    </w:tblStylePr>
    <w:tblStylePr w:type="band1Horz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single" w:color="FFFFFF" w:themeColor="background1" w:space="0" w:sz="8"/>
          <w:insideV w:val="single" w:color="FFFFFF" w:themeColor="background1" w:space="0" w:sz="8"/>
        </w:tcBorders>
        <w:shd w:val="clear" w:color="auto" w:themeFill="accent6" w:fill="FBCAA2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 w:sz="18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 w:sz="18"/>
          <w:insideH w:val="nil"/>
          <w:insideV w:val="nil"/>
        </w:tcBorders>
        <w:shd w:val="clear" w:color="auto" w:themeFill="text1" w:fill="000000" w:themeFillShade="BF"/>
      </w:tcPr>
    </w:tblStylePr>
    <w:tblStylePr w:type="lastCol">
      <w:tblPr/>
      <w:tcPr>
        <w:tcBorders>
          <w:top w:val="nil"/>
          <w:left w:val="single" w:color="FFFFFF" w:themeColor="background1" w:space="0" w:sz="18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 w:sz="18"/>
          <w:left w:val="nil"/>
          <w:bottom w:val="nil"/>
          <w:right w:val="nil"/>
          <w:insideH w:val="nil"/>
          <w:insideV w:val="nil"/>
        </w:tcBorders>
        <w:shd w:val="clear" w:color="auto" w:themeFill="accent1" w:fill="243F60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 w:sz="18"/>
          <w:insideH w:val="nil"/>
          <w:insideV w:val="nil"/>
        </w:tcBorders>
        <w:shd w:val="clear" w:color="auto" w:themeFill="accent1" w:fill="365F91" w:themeFillShade="BF"/>
      </w:tcPr>
    </w:tblStylePr>
    <w:tblStylePr w:type="lastCol">
      <w:tblPr/>
      <w:tcPr>
        <w:tcBorders>
          <w:top w:val="nil"/>
          <w:left w:val="single" w:color="FFFFFF" w:themeColor="background1" w:space="0" w:sz="18"/>
          <w:bottom w:val="nil"/>
          <w:right w:val="nil"/>
          <w:insideH w:val="nil"/>
          <w:insideV w:val="nil"/>
        </w:tcBorders>
        <w:shd w:val="clear" w:color="auto" w:themeFill="accent1" w:fill="365F9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365F9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365F9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 w:sz="18"/>
          <w:left w:val="nil"/>
          <w:bottom w:val="nil"/>
          <w:right w:val="nil"/>
          <w:insideH w:val="nil"/>
          <w:insideV w:val="nil"/>
        </w:tcBorders>
        <w:shd w:val="clear" w:color="auto" w:themeFill="accent2" w:fill="62242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 w:sz="18"/>
          <w:insideH w:val="nil"/>
          <w:insideV w:val="nil"/>
        </w:tcBorders>
        <w:shd w:val="clear" w:color="auto" w:themeFill="accent2" w:fill="943634" w:themeFillShade="BF"/>
      </w:tcPr>
    </w:tblStylePr>
    <w:tblStylePr w:type="lastCol">
      <w:tblPr/>
      <w:tcPr>
        <w:tcBorders>
          <w:top w:val="nil"/>
          <w:left w:val="single" w:color="FFFFFF" w:themeColor="background1" w:space="0" w:sz="18"/>
          <w:bottom w:val="nil"/>
          <w:right w:val="nil"/>
          <w:insideH w:val="nil"/>
          <w:insideV w:val="nil"/>
        </w:tcBorders>
        <w:shd w:val="clear" w:color="auto" w:themeFill="accent2" w:fill="94363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94363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943634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 w:sz="18"/>
          <w:left w:val="nil"/>
          <w:bottom w:val="nil"/>
          <w:right w:val="nil"/>
          <w:insideH w:val="nil"/>
          <w:insideV w:val="nil"/>
        </w:tcBorders>
        <w:shd w:val="clear" w:color="auto" w:themeFill="accent3" w:fill="4E6128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 w:sz="18"/>
          <w:insideH w:val="nil"/>
          <w:insideV w:val="nil"/>
        </w:tcBorders>
        <w:shd w:val="clear" w:color="auto" w:themeFill="accent3" w:fill="76923C" w:themeFillShade="BF"/>
      </w:tcPr>
    </w:tblStylePr>
    <w:tblStylePr w:type="lastCol">
      <w:tblPr/>
      <w:tcPr>
        <w:tcBorders>
          <w:top w:val="nil"/>
          <w:left w:val="single" w:color="FFFFFF" w:themeColor="background1" w:space="0" w:sz="18"/>
          <w:bottom w:val="nil"/>
          <w:right w:val="nil"/>
          <w:insideH w:val="nil"/>
          <w:insideV w:val="nil"/>
        </w:tcBorders>
        <w:shd w:val="clear" w:color="auto" w:themeFill="accent3" w:fill="76923C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76923C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76923C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 w:sz="18"/>
          <w:left w:val="nil"/>
          <w:bottom w:val="nil"/>
          <w:right w:val="nil"/>
          <w:insideH w:val="nil"/>
          <w:insideV w:val="nil"/>
        </w:tcBorders>
        <w:shd w:val="clear" w:color="auto" w:themeFill="accent4" w:fill="3F315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 w:sz="18"/>
          <w:insideH w:val="nil"/>
          <w:insideV w:val="nil"/>
        </w:tcBorders>
        <w:shd w:val="clear" w:color="auto" w:themeFill="accent4" w:fill="5F497A" w:themeFillShade="BF"/>
      </w:tcPr>
    </w:tblStylePr>
    <w:tblStylePr w:type="lastCol">
      <w:tblPr/>
      <w:tcPr>
        <w:tcBorders>
          <w:top w:val="nil"/>
          <w:left w:val="single" w:color="FFFFFF" w:themeColor="background1" w:space="0" w:sz="18"/>
          <w:bottom w:val="nil"/>
          <w:right w:val="nil"/>
          <w:insideH w:val="nil"/>
          <w:insideV w:val="nil"/>
        </w:tcBorders>
        <w:shd w:val="clear" w:color="auto" w:themeFill="accent4" w:fill="5F497A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5F497A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5F497A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 w:sz="18"/>
          <w:left w:val="nil"/>
          <w:bottom w:val="nil"/>
          <w:right w:val="nil"/>
          <w:insideH w:val="nil"/>
          <w:insideV w:val="nil"/>
        </w:tcBorders>
        <w:shd w:val="clear" w:color="auto" w:themeFill="accent5" w:fill="205867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 w:sz="18"/>
          <w:insideH w:val="nil"/>
          <w:insideV w:val="nil"/>
        </w:tcBorders>
        <w:shd w:val="clear" w:color="auto" w:themeFill="accent5" w:fill="31849B" w:themeFillShade="BF"/>
      </w:tcPr>
    </w:tblStylePr>
    <w:tblStylePr w:type="lastCol">
      <w:tblPr/>
      <w:tcPr>
        <w:tcBorders>
          <w:top w:val="nil"/>
          <w:left w:val="single" w:color="FFFFFF" w:themeColor="background1" w:space="0" w:sz="18"/>
          <w:bottom w:val="nil"/>
          <w:right w:val="nil"/>
          <w:insideH w:val="nil"/>
          <w:insideV w:val="nil"/>
        </w:tcBorders>
        <w:shd w:val="clear" w:color="auto" w:themeFill="accent5" w:fill="31849B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31849B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31849B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 w:sz="18"/>
          <w:left w:val="nil"/>
          <w:bottom w:val="nil"/>
          <w:right w:val="nil"/>
          <w:insideH w:val="nil"/>
          <w:insideV w:val="nil"/>
        </w:tcBorders>
        <w:shd w:val="clear" w:color="auto" w:themeFill="accent6" w:fill="97470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 w:sz="18"/>
          <w:insideH w:val="nil"/>
          <w:insideV w:val="nil"/>
        </w:tcBorders>
        <w:shd w:val="clear" w:color="auto" w:themeFill="accent6" w:fill="E36C0A" w:themeFillShade="BF"/>
      </w:tcPr>
    </w:tblStylePr>
    <w:tblStylePr w:type="lastCol">
      <w:tblPr/>
      <w:tcPr>
        <w:tcBorders>
          <w:top w:val="nil"/>
          <w:left w:val="single" w:color="FFFFFF" w:themeColor="background1" w:space="0" w:sz="18"/>
          <w:bottom w:val="nil"/>
          <w:right w:val="nil"/>
          <w:insideH w:val="nil"/>
          <w:insideV w:val="nil"/>
        </w:tcBorders>
        <w:shd w:val="clear" w:color="auto" w:themeFill="accent6" w:fill="E36C0A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E36C0A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E36C0A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 w:sz="24"/>
        <w:left w:val="single" w:color="000000" w:themeColor="text1" w:space="0" w:sz="4"/>
        <w:bottom w:val="single" w:color="000000" w:themeColor="text1" w:space="0" w:sz="4"/>
        <w:right w:val="single" w:color="000000" w:themeColor="text1" w:space="0" w:sz="4"/>
        <w:insideH w:val="single" w:color="FFFFFF" w:themeColor="background1" w:space="0" w:sz="4"/>
        <w:insideV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E6E6E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 w:sz="6"/>
        </w:tcBorders>
        <w:shd w:val="clear" w:color="auto" w:themeFill="text1" w:fill="000000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pace="0" w:sz="4"/>
          <w:insideV w:val="nil"/>
        </w:tcBorders>
        <w:shd w:val="clear" w:color="auto" w:themeFill="text1" w:fill="000000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  <w:tblStylePr w:type="band1Vert">
      <w:tblPr/>
      <w:tcPr>
        <w:shd w:val="clear" w:color="auto" w:themeFill="text1" w:fill="999999" w:themeFillTint="66"/>
      </w:tcPr>
    </w:tblStylePr>
    <w:tblStylePr w:type="band1Horz">
      <w:tblPr/>
      <w:tcPr>
        <w:shd w:val="clear" w:color="auto" w:themeFill="text1" w:fill="808080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 w:sz="24"/>
        <w:left w:val="single" w:color="4F81BD" w:themeColor="accent1" w:space="0" w:sz="4"/>
        <w:bottom w:val="single" w:color="4F81BD" w:themeColor="accent1" w:space="0" w:sz="4"/>
        <w:right w:val="single" w:color="4F81BD" w:themeColor="accent1" w:space="0" w:sz="4"/>
        <w:insideH w:val="single" w:color="FFFFFF" w:themeColor="background1" w:space="0" w:sz="4"/>
        <w:insideV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EDF2F8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 w:sz="6"/>
        </w:tcBorders>
        <w:shd w:val="clear" w:color="auto" w:themeFill="accent1" w:fill="2C4C7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pace="0" w:sz="4"/>
          <w:insideV w:val="nil"/>
        </w:tcBorders>
        <w:shd w:val="clear" w:color="auto" w:themeFill="accent1" w:fill="2C4C7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2C4C74" w:themeFillShade="99"/>
      </w:tcPr>
    </w:tblStylePr>
    <w:tblStylePr w:type="band1Vert">
      <w:tblPr/>
      <w:tcPr>
        <w:shd w:val="clear" w:color="auto" w:themeFill="accent1" w:fill="B8CCE4" w:themeFillTint="66"/>
      </w:tcPr>
    </w:tblStylePr>
    <w:tblStylePr w:type="band1Horz">
      <w:tblPr/>
      <w:tcPr>
        <w:shd w:val="clear" w:color="auto" w:themeFill="accent1" w:fill="A7BFDE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 w:sz="24"/>
        <w:left w:val="single" w:color="C0504D" w:themeColor="accent2" w:space="0" w:sz="4"/>
        <w:bottom w:val="single" w:color="C0504D" w:themeColor="accent2" w:space="0" w:sz="4"/>
        <w:right w:val="single" w:color="C0504D" w:themeColor="accent2" w:space="0" w:sz="4"/>
        <w:insideH w:val="single" w:color="FFFFFF" w:themeColor="background1" w:space="0" w:sz="4"/>
        <w:insideV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F8EDED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 w:sz="6"/>
        </w:tcBorders>
        <w:shd w:val="clear" w:color="auto" w:themeFill="accent2" w:fill="772C2A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pace="0" w:sz="4"/>
          <w:insideV w:val="nil"/>
        </w:tcBorders>
        <w:shd w:val="clear" w:color="auto" w:themeFill="accent2" w:fill="772C2A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772C2A" w:themeFillShade="99"/>
      </w:tcPr>
    </w:tblStylePr>
    <w:tblStylePr w:type="band1Vert">
      <w:tblPr/>
      <w:tcPr>
        <w:shd w:val="clear" w:color="auto" w:themeFill="accent2" w:fill="E5B8B7" w:themeFillTint="66"/>
      </w:tcPr>
    </w:tblStylePr>
    <w:tblStylePr w:type="band1Horz">
      <w:tblPr/>
      <w:tcPr>
        <w:shd w:val="clear" w:color="auto" w:themeFill="accent2" w:fill="DFA7A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 w:sz="24"/>
        <w:left w:val="single" w:color="9BBB59" w:themeColor="accent3" w:space="0" w:sz="4"/>
        <w:bottom w:val="single" w:color="9BBB59" w:themeColor="accent3" w:space="0" w:sz="4"/>
        <w:right w:val="single" w:color="9BBB59" w:themeColor="accent3" w:space="0" w:sz="4"/>
        <w:insideH w:val="single" w:color="FFFFFF" w:themeColor="background1" w:space="0" w:sz="4"/>
        <w:insideV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F5F8EE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 w:sz="6"/>
        </w:tcBorders>
        <w:shd w:val="clear" w:color="auto" w:themeFill="accent3" w:fill="5E7530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pace="0" w:sz="4"/>
          <w:insideV w:val="nil"/>
        </w:tcBorders>
        <w:shd w:val="clear" w:color="auto" w:themeFill="accent3" w:fill="5E7530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5E7530" w:themeFillShade="99"/>
      </w:tcPr>
    </w:tblStylePr>
    <w:tblStylePr w:type="band1Vert">
      <w:tblPr/>
      <w:tcPr>
        <w:shd w:val="clear" w:color="auto" w:themeFill="accent3" w:fill="D6E3BC" w:themeFillTint="66"/>
      </w:tcPr>
    </w:tblStylePr>
    <w:tblStylePr w:type="band1Horz">
      <w:tblPr/>
      <w:tcPr>
        <w:shd w:val="clear" w:color="auto" w:themeFill="accent3" w:fill="CDDDAC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 w:sz="24"/>
        <w:left w:val="single" w:color="8064A2" w:themeColor="accent4" w:space="0" w:sz="4"/>
        <w:bottom w:val="single" w:color="8064A2" w:themeColor="accent4" w:space="0" w:sz="4"/>
        <w:right w:val="single" w:color="8064A2" w:themeColor="accent4" w:space="0" w:sz="4"/>
        <w:insideH w:val="single" w:color="FFFFFF" w:themeColor="background1" w:space="0" w:sz="4"/>
        <w:insideV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F2EFF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 w:sz="6"/>
        </w:tcBorders>
        <w:shd w:val="clear" w:color="auto" w:themeFill="accent4" w:fill="4C3B6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pace="0" w:sz="4"/>
          <w:insideV w:val="nil"/>
        </w:tcBorders>
        <w:shd w:val="clear" w:color="auto" w:themeFill="accent4" w:fill="4C3B6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4C3B62" w:themeFillShade="99"/>
      </w:tcPr>
    </w:tblStylePr>
    <w:tblStylePr w:type="band1Vert">
      <w:tblPr/>
      <w:tcPr>
        <w:shd w:val="clear" w:color="auto" w:themeFill="accent4" w:fill="CCC0D9" w:themeFillTint="66"/>
      </w:tcPr>
    </w:tblStylePr>
    <w:tblStylePr w:type="band1Horz">
      <w:tblPr/>
      <w:tcPr>
        <w:shd w:val="clear" w:color="auto" w:themeFill="accent4" w:fill="BFB1D0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 w:sz="24"/>
        <w:left w:val="single" w:color="4BACC6" w:themeColor="accent5" w:space="0" w:sz="4"/>
        <w:bottom w:val="single" w:color="4BACC6" w:themeColor="accent5" w:space="0" w:sz="4"/>
        <w:right w:val="single" w:color="4BACC6" w:themeColor="accent5" w:space="0" w:sz="4"/>
        <w:insideH w:val="single" w:color="FFFFFF" w:themeColor="background1" w:space="0" w:sz="4"/>
        <w:insideV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EDF6F9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 w:sz="6"/>
        </w:tcBorders>
        <w:shd w:val="clear" w:color="auto" w:themeFill="accent5" w:fill="276A7C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pace="0" w:sz="4"/>
          <w:insideV w:val="nil"/>
        </w:tcBorders>
        <w:shd w:val="clear" w:color="auto" w:themeFill="accent5" w:fill="276A7C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276A7C" w:themeFillShade="99"/>
      </w:tcPr>
    </w:tblStylePr>
    <w:tblStylePr w:type="band1Vert">
      <w:tblPr/>
      <w:tcPr>
        <w:shd w:val="clear" w:color="auto" w:themeFill="accent5" w:fill="B6DDE8" w:themeFillTint="66"/>
      </w:tcPr>
    </w:tblStylePr>
    <w:tblStylePr w:type="band1Horz">
      <w:tblPr/>
      <w:tcPr>
        <w:shd w:val="clear" w:color="auto" w:themeFill="accent5" w:fill="A5D5E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 w:sz="24"/>
        <w:left w:val="single" w:color="F79646" w:themeColor="accent6" w:space="0" w:sz="4"/>
        <w:bottom w:val="single" w:color="F79646" w:themeColor="accent6" w:space="0" w:sz="4"/>
        <w:right w:val="single" w:color="F79646" w:themeColor="accent6" w:space="0" w:sz="4"/>
        <w:insideH w:val="single" w:color="FFFFFF" w:themeColor="background1" w:space="0" w:sz="4"/>
        <w:insideV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EF4EC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 w:sz="6"/>
        </w:tcBorders>
        <w:shd w:val="clear" w:color="auto" w:themeFill="accent6" w:fill="B65608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pace="0" w:sz="4"/>
          <w:insideV w:val="nil"/>
        </w:tcBorders>
        <w:shd w:val="clear" w:color="auto" w:themeFill="accent6" w:fill="B65608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B65608" w:themeFillShade="99"/>
      </w:tcPr>
    </w:tblStylePr>
    <w:tblStylePr w:type="band1Vert">
      <w:tblPr/>
      <w:tcPr>
        <w:shd w:val="clear" w:color="auto" w:themeFill="accent6" w:fill="FBD4B4" w:themeFillTint="66"/>
      </w:tcPr>
    </w:tblStylePr>
    <w:tblStylePr w:type="band1Horz">
      <w:tblPr/>
      <w:tcPr>
        <w:shd w:val="clear" w:color="auto" w:themeFill="accent6" w:fill="FBCAA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E6E6E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 w:sz="12"/>
        </w:tcBorders>
        <w:shd w:val="clear" w:color="auto" w:themeFill="accent2" w:fill="9E3A38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pace="0" w:sz="12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  <w:tblStylePr w:type="band1Horz">
      <w:tblPr/>
      <w:tcPr>
        <w:shd w:val="clear" w:color="auto" w:themeFill="text1" w:fill="CCCCCC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EDF2F8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 w:sz="12"/>
        </w:tcBorders>
        <w:shd w:val="clear" w:color="auto" w:themeFill="accent2" w:fill="9E3A38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pace="0" w:sz="12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  <w:tblStylePr w:type="band1Horz">
      <w:tblPr/>
      <w:tcPr>
        <w:shd w:val="clear" w:color="auto" w:themeFill="accent1" w:fill="DBE5F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F8EDED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 w:sz="12"/>
        </w:tcBorders>
        <w:shd w:val="clear" w:color="auto" w:themeFill="accent2" w:fill="9E3A38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pace="0" w:sz="12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  <w:tblStylePr w:type="band1Horz">
      <w:tblPr/>
      <w:tcPr>
        <w:shd w:val="clear" w:color="auto" w:themeFill="accent2" w:fill="F2DBDB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F5F8EE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 w:sz="12"/>
        </w:tcBorders>
        <w:shd w:val="clear" w:color="auto" w:themeFill="accent4" w:fill="664E82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pace="0" w:sz="12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  <w:tblStylePr w:type="band1Horz">
      <w:tblPr/>
      <w:tcPr>
        <w:shd w:val="clear" w:color="auto" w:themeFill="accent3" w:fill="EAF1DD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F2EFF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 w:sz="12"/>
        </w:tcBorders>
        <w:shd w:val="clear" w:color="auto" w:themeFill="accent3" w:fill="7E9C40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pace="0" w:sz="12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  <w:tblStylePr w:type="band1Horz">
      <w:tblPr/>
      <w:tcPr>
        <w:shd w:val="clear" w:color="auto" w:themeFill="accent4" w:fill="E5DFEC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EDF6F9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 w:sz="12"/>
        </w:tcBorders>
        <w:shd w:val="clear" w:color="auto" w:themeFill="accent6" w:fill="F2730A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pace="0" w:sz="12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  <w:tblStylePr w:type="band1Horz">
      <w:tblPr/>
      <w:tcPr>
        <w:shd w:val="clear" w:color="auto" w:themeFill="accent5" w:fill="DAEEF3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EF4EC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 w:sz="12"/>
        </w:tcBorders>
        <w:shd w:val="clear" w:color="auto" w:themeFill="accent5" w:fill="348DA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pace="0" w:sz="12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  <w:tblStylePr w:type="band1Horz">
      <w:tblPr/>
      <w:tcPr>
        <w:shd w:val="clear" w:color="auto" w:themeFill="accent6" w:fill="FDE9D9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CCCCC" w:themeFillTint="33"/>
    </w:tcPr>
    <w:tblStylePr w:type="firstRow">
      <w:rPr>
        <w:b/>
        <w:bCs/>
      </w:rPr>
      <w:tblPr/>
      <w:tcPr>
        <w:shd w:val="clear" w:color="auto" w:themeFill="text1" w:fill="999999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text1" w:fill="999999" w:themeFillTint="66"/>
      </w:tcPr>
    </w:tblStylePr>
    <w:tblStylePr w:type="firstCol">
      <w:rPr>
        <w:color w:val="FFFFFF" w:themeColor="background1"/>
      </w:rPr>
      <w:tblPr/>
      <w:tcPr>
        <w:shd w:val="clear" w:color="auto" w:themeFill="text1" w:fill="000000" w:themeFillShade="BF"/>
      </w:tcPr>
    </w:tblStylePr>
    <w:tblStylePr w:type="lastCol">
      <w:rPr>
        <w:color w:val="FFFFFF" w:themeColor="background1"/>
      </w:rPr>
      <w:tblPr/>
      <w:tcPr>
        <w:shd w:val="clear" w:color="auto" w:themeFill="text1" w:fill="000000" w:themeFillShade="BF"/>
      </w:tcPr>
    </w:tblStylePr>
    <w:tblStylePr w:type="band1Vert">
      <w:tblPr/>
      <w:tcPr>
        <w:shd w:val="clear" w:color="auto" w:themeFill="text1" w:fill="808080" w:themeFillTint="7F"/>
      </w:tcPr>
    </w:tblStylePr>
    <w:tblStylePr w:type="band1Horz">
      <w:tblPr/>
      <w:tcPr>
        <w:shd w:val="clear" w:color="auto" w:themeFill="text1" w:fill="808080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BE5F1" w:themeFillTint="33"/>
    </w:tcPr>
    <w:tblStylePr w:type="firstRow">
      <w:rPr>
        <w:b/>
        <w:bCs/>
      </w:rPr>
      <w:tblPr/>
      <w:tcPr>
        <w:shd w:val="clear" w:color="auto" w:themeFill="accent1" w:fill="B8CCE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1" w:fill="B8CCE4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1" w:fill="365F91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1" w:fill="365F91" w:themeFillShade="BF"/>
      </w:tcPr>
    </w:tblStylePr>
    <w:tblStylePr w:type="band1Vert">
      <w:tblPr/>
      <w:tcPr>
        <w:shd w:val="clear" w:color="auto" w:themeFill="accent1" w:fill="A7BFDE" w:themeFillTint="7F"/>
      </w:tcPr>
    </w:tblStylePr>
    <w:tblStylePr w:type="band1Horz">
      <w:tblPr/>
      <w:tcPr>
        <w:shd w:val="clear" w:color="auto" w:themeFill="accent1" w:fill="A7BFDE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F2DBDB" w:themeFillTint="33"/>
    </w:tcPr>
    <w:tblStylePr w:type="firstRow">
      <w:rPr>
        <w:b/>
        <w:bCs/>
      </w:rPr>
      <w:tblPr/>
      <w:tcPr>
        <w:shd w:val="clear" w:color="auto" w:themeFill="accent2" w:fill="E5B8B7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2" w:fill="E5B8B7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2" w:fill="943634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2" w:fill="943634" w:themeFillShade="BF"/>
      </w:tcPr>
    </w:tblStylePr>
    <w:tblStylePr w:type="band1Vert">
      <w:tblPr/>
      <w:tcPr>
        <w:shd w:val="clear" w:color="auto" w:themeFill="accent2" w:fill="DFA7A6" w:themeFillTint="7F"/>
      </w:tcPr>
    </w:tblStylePr>
    <w:tblStylePr w:type="band1Horz">
      <w:tblPr/>
      <w:tcPr>
        <w:shd w:val="clear" w:color="auto" w:themeFill="accent2" w:fill="DFA7A6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AF1DD" w:themeFillTint="33"/>
    </w:tcPr>
    <w:tblStylePr w:type="firstRow">
      <w:rPr>
        <w:b/>
        <w:bCs/>
      </w:rPr>
      <w:tblPr/>
      <w:tcPr>
        <w:shd w:val="clear" w:color="auto" w:themeFill="accent3" w:fill="D6E3BC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3" w:fill="D6E3BC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3" w:fill="76923C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3" w:fill="76923C" w:themeFillShade="BF"/>
      </w:tcPr>
    </w:tblStylePr>
    <w:tblStylePr w:type="band1Vert">
      <w:tblPr/>
      <w:tcPr>
        <w:shd w:val="clear" w:color="auto" w:themeFill="accent3" w:fill="CDDDAC" w:themeFillTint="7F"/>
      </w:tcPr>
    </w:tblStylePr>
    <w:tblStylePr w:type="band1Horz">
      <w:tblPr/>
      <w:tcPr>
        <w:shd w:val="clear" w:color="auto" w:themeFill="accent3" w:fill="CDDDAC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E5DFEC" w:themeFillTint="33"/>
    </w:tcPr>
    <w:tblStylePr w:type="firstRow">
      <w:rPr>
        <w:b/>
        <w:bCs/>
      </w:rPr>
      <w:tblPr/>
      <w:tcPr>
        <w:shd w:val="clear" w:color="auto" w:themeFill="accent4" w:fill="CCC0D9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4" w:fill="CCC0D9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4" w:fill="5F497A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4" w:fill="5F497A" w:themeFillShade="BF"/>
      </w:tcPr>
    </w:tblStylePr>
    <w:tblStylePr w:type="band1Vert">
      <w:tblPr/>
      <w:tcPr>
        <w:shd w:val="clear" w:color="auto" w:themeFill="accent4" w:fill="BFB1D0" w:themeFillTint="7F"/>
      </w:tcPr>
    </w:tblStylePr>
    <w:tblStylePr w:type="band1Horz">
      <w:tblPr/>
      <w:tcPr>
        <w:shd w:val="clear" w:color="auto" w:themeFill="accent4" w:fill="BFB1D0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AEEF3" w:themeFillTint="33"/>
    </w:tcPr>
    <w:tblStylePr w:type="firstRow">
      <w:rPr>
        <w:b/>
        <w:bCs/>
      </w:rPr>
      <w:tblPr/>
      <w:tcPr>
        <w:shd w:val="clear" w:color="auto" w:themeFill="accent5" w:fill="B6DDE8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5" w:fill="B6DDE8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5" w:fill="31849B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5" w:fill="31849B" w:themeFillShade="BF"/>
      </w:tcPr>
    </w:tblStylePr>
    <w:tblStylePr w:type="band1Vert">
      <w:tblPr/>
      <w:tcPr>
        <w:shd w:val="clear" w:color="auto" w:themeFill="accent5" w:fill="A5D5E2" w:themeFillTint="7F"/>
      </w:tcPr>
    </w:tblStylePr>
    <w:tblStylePr w:type="band1Horz">
      <w:tblPr/>
      <w:tcPr>
        <w:shd w:val="clear" w:color="auto" w:themeFill="accent5" w:fill="A5D5E2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9D9" w:themeFillTint="33"/>
    </w:tcPr>
    <w:tblStylePr w:type="firstRow">
      <w:rPr>
        <w:b/>
        <w:bCs/>
      </w:rPr>
      <w:tblPr/>
      <w:tcPr>
        <w:shd w:val="clear" w:color="auto" w:themeFill="accent6" w:fill="FBD4B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6" w:fill="FBD4B4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6" w:fill="E36C0A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6" w:fill="E36C0A" w:themeFillShade="BF"/>
      </w:tcPr>
    </w:tblStylePr>
    <w:tblStylePr w:type="band1Vert">
      <w:tblPr/>
      <w:tcPr>
        <w:shd w:val="clear" w:color="auto" w:themeFill="accent6" w:fill="FBCAA2" w:themeFillTint="7F"/>
      </w:tcPr>
    </w:tblStylePr>
    <w:tblStylePr w:type="band1Horz">
      <w:tblPr/>
      <w:tcPr>
        <w:shd w:val="clear" w:color="auto" w:themeFill="accent6" w:fill="FBCAA2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90D6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
<Relationships xmlns="http://schemas.openxmlformats.org/package/2006/relationships"><Relationship Id="rId3" Type="http://schemas.openxmlformats.org/officeDocument/2006/relationships/styles" Target="styles.xml"></Relationship><Relationship Id="rId4" Type="http://schemas.microsoft.com/office/2007/relationships/stylesWithEffects" Target="stylesWithEffects.xml"></Relationship><Relationship Id="rId5" Type="http://schemas.openxmlformats.org/officeDocument/2006/relationships/settings" Target="settings.xml"></Relationship><Relationship Id="rId6" Type="http://schemas.openxmlformats.org/officeDocument/2006/relationships/webSettings" Target="webSettings.xml"></Relationship><Relationship Id="rId7" Type="http://schemas.openxmlformats.org/officeDocument/2006/relationships/fontTable" Target="fontTable.xml"></Relationship><Relationship Id="rId8" Type="http://schemas.openxmlformats.org/officeDocument/2006/relationships/theme" Target="theme/theme1.xml"></Relationship><Relationship Id="rId1" Type="http://schemas.openxmlformats.org/officeDocument/2006/relationships/customXml" Target="../customXml/item1.xml"></Relationship><Relationship Id="rId2" Type="http://schemas.openxmlformats.org/officeDocument/2006/relationships/numbering" Target="numbering.xml"></Relationship><Relationship Id="rId9" Type="http://schemas.openxmlformats.org/officeDocument/2006/relationships/hyperlink" Target="https://therapytips.org/personality-tests/behavioral-jealousy-scale" TargetMode="External"></Relationship><Relationship Id="rId10" Type="http://schemas.openxmlformats.org/officeDocument/2006/relationships/hyperlink" Target="https://zyy.oyoyun.com/guide" TargetMode="External"></Relationship><Relationship Id="rId11" Type="http://schemas.openxmlformats.org/officeDocument/2006/relationships/hyperlink" Target="https://m.psyctest.cn/t/l8xOKNxw/" TargetMode="External"></Relationship><Relationship Id="rId12" Type="http://schemas.openxmlformats.org/officeDocument/2006/relationships/hyperlink" Target="https://www.idrlabs.com/tag/dating.php" TargetMode="External"></Relationship><Relationship Id="rId13" Type="http://schemas.openxmlformats.org/officeDocument/2006/relationships/hyperlink" Target="https://therapytips.org/personality-tests/behavioral-jealousy-scale" TargetMode="External"></Relationship><Relationship Id="rId14" Type="http://schemas.openxmlformats.org/officeDocument/2006/relationships/hyperlink" Target="http://labs.psychology.illinois.edu/~rcfraley/measures/ecrr.htm" TargetMode="Externa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
  <Relationship Id="rId1" Type="http://schemas.openxmlformats.org/officeDocument/2006/relationships/customXmlProps" Target="itemProps1.xml"/>
</Relationships>
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gomutex</dc:creator>
  <cp:keywords/>
  <dc:description>generated by godocx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