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/>
          <w:b/>
          <w:i w:val="0"/>
          <w:color w:val="278A7B"/>
          <w:sz w:val="20"/>
        </w:rPr>
        <w:t>АНАЛИТИЧЕСКАЯ СВОДКА</w:t>
      </w:r>
    </w:p>
    <w:p>
      <w:pPr>
        <w:spacing w:after="80"/>
      </w:pPr>
      <w:r>
        <w:rPr>
          <w:rFonts w:ascii="Arial" w:hAnsi="Arial"/>
          <w:b/>
          <w:i w:val="0"/>
          <w:color w:val="173B57"/>
          <w:sz w:val="50"/>
        </w:rPr>
        <w:t>Сравнительная динамика легализации пребывания</w:t>
      </w:r>
    </w:p>
    <w:p>
      <w:pPr>
        <w:spacing w:after="200"/>
      </w:pPr>
      <w:r>
        <w:rPr>
          <w:rFonts w:ascii="Arial" w:hAnsi="Arial"/>
          <w:b/>
          <w:i w:val="0"/>
          <w:color w:val="2F6FA3"/>
          <w:sz w:val="26"/>
        </w:rPr>
        <w:t>Małopolskie • Dolnośląskie • Pomorskie | 2023–2026</w:t>
      </w:r>
    </w:p>
    <w:p>
      <w:pPr>
        <w:spacing w:after="200"/>
        <w:pBdr>
          <w:bottom w:val="single" w:sz="14" w:space="6" w:color="278A7B"/>
        </w:pBdr>
      </w:pPr>
      <w:r>
        <w:rPr>
          <w:rFonts w:ascii="Arial" w:hAnsi="Arial"/>
          <w:b w:val="0"/>
          <w:i w:val="0"/>
          <w:color w:val="5C6873"/>
          <w:sz w:val="19"/>
        </w:rPr>
        <w:t>Краткий аналитический документ для публичной коммуникации и медиакита • состояние данных: 27 августа 2026 года</w:t>
      </w:r>
    </w:p>
    <w:p>
      <w:pPr>
        <w:spacing w:before="160" w:after="100" w:line="259" w:lineRule="auto"/>
      </w:pPr>
      <w:r>
        <w:rPr>
          <w:rFonts w:ascii="Arial" w:hAnsi="Arial"/>
          <w:b/>
          <w:i w:val="0"/>
          <w:color w:val="173B57"/>
          <w:sz w:val="22"/>
        </w:rPr>
        <w:t xml:space="preserve">Pomorskie относится к двум воеводствам с наиболее длительными сроками рассмотрения дел в Польше. </w:t>
      </w:r>
      <w:r>
        <w:rPr>
          <w:rFonts w:ascii="Arial" w:hAnsi="Arial"/>
          <w:b w:val="0"/>
          <w:i w:val="0"/>
          <w:color w:val="1D2730"/>
          <w:sz w:val="22"/>
        </w:rPr>
        <w:t>В 2026 году его средний срок составлял 598 дней: это второй по длительности результат после Śląskiego (658 дней). Для сравнения: Mazowieckie — 394 дня, Podlaskie — 447 дней. Среди трёх подробно рассматриваемых регионов Pomorskie показывает худший результат. [1]</w:t>
      </w:r>
    </w:p>
    <w:p>
      <w:pPr>
        <w:spacing w:before="0" w:after="140" w:line="259" w:lineRule="auto"/>
      </w:pPr>
      <w:r>
        <w:rPr>
          <w:rFonts w:ascii="Arial" w:hAnsi="Arial"/>
          <w:b w:val="0"/>
          <w:i w:val="0"/>
          <w:color w:val="1D2730"/>
          <w:sz w:val="22"/>
        </w:rPr>
        <w:t xml:space="preserve">Сравнение с </w:t>
      </w:r>
      <w:r>
        <w:rPr>
          <w:rFonts w:ascii="Arial" w:hAnsi="Arial"/>
          <w:b/>
          <w:i w:val="0"/>
          <w:color w:val="B3263E"/>
          <w:sz w:val="22"/>
        </w:rPr>
        <w:t>Małopolskiem</w:t>
      </w:r>
      <w:r>
        <w:rPr>
          <w:rFonts w:ascii="Arial" w:hAnsi="Arial"/>
          <w:b w:val="0"/>
          <w:i w:val="0"/>
          <w:color w:val="1D2730"/>
          <w:sz w:val="22"/>
        </w:rPr>
        <w:t xml:space="preserve"> и </w:t>
      </w:r>
      <w:r>
        <w:rPr>
          <w:rFonts w:ascii="Arial" w:hAnsi="Arial"/>
          <w:b/>
          <w:i w:val="0"/>
          <w:color w:val="B07A12"/>
          <w:sz w:val="22"/>
        </w:rPr>
        <w:t>Dolnośląskiem</w:t>
      </w:r>
      <w:r>
        <w:rPr>
          <w:rFonts w:ascii="Arial" w:hAnsi="Arial"/>
          <w:b w:val="0"/>
          <w:i w:val="0"/>
          <w:color w:val="1D2730"/>
          <w:sz w:val="22"/>
        </w:rPr>
        <w:t xml:space="preserve"> особенно показательно. В 2025 году по pobyt czasowy Pomorskie приняло 36 466 заявлений при среднем сроке 544 дня; Małopolskie — 49 735 при 183 днях, Dolnośląskie — 61 264 при 273 днях. Оба региона приняли больше заявлений, но работали значительно быстрее: масштаб входящего потока сам по себе не объясняет различие. [1, 10]</w:t>
      </w:r>
    </w:p>
    <w:p>
      <w:r>
        <w:drawing>
          <wp:inline xmlns:a="http://schemas.openxmlformats.org/drawingml/2006/main" xmlns:pic="http://schemas.openxmlformats.org/drawingml/2006/picture">
            <wp:extent cx="6144768" cy="2949489"/>
            <wp:docPr id="1" name="Picture 1" descr="Линейный график официального среднего срока рассмотрения дел в Małopolskiem, Dolnośląskiem и Pomorskiem за 2023–2026 годы." title="Линейный график официального среднего срока рассмотрения дел в Małopolskiem, Dolnośląskiem и Pomorskiem за 2023–2026 год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949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 w:val="0"/>
          <w:i/>
          <w:color w:val="5C6873"/>
          <w:sz w:val="17"/>
        </w:rPr>
        <w:t>Рис. 1. Официальный средний срок ведения производств. Данные за 2026 год охватывают период до 6 июля 2026 года. Источник: MSWiA [1].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73B57"/>
          <w:sz w:val="32"/>
        </w:rPr>
        <w:t>1. Масштаб нагрузки и реальное ожидание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Краков выбран как положительное сравнение не потому, что там мало иностранцев. В Małopolskiem число действующих документов почти вдвое выше, чем в Pomorskiem, но официальный средний срок производства примерно в 2,5 раза короче.</w:t>
      </w:r>
    </w:p>
    <w:p>
      <w:r>
        <w:drawing>
          <wp:inline xmlns:a="http://schemas.openxmlformats.org/drawingml/2006/main" xmlns:pic="http://schemas.openxmlformats.org/drawingml/2006/picture">
            <wp:extent cx="6144768" cy="2498872"/>
            <wp:docPr id="2" name="Picture 2" descr="Горизонтальная диаграмма количества действующих документов иностранцев в трёх воеводствах в 2026 году." title="Горизонтальная диаграмма количества действующих документов иностранцев в трёх воеводствах в 2026 году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uments_sca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498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 w:val="0"/>
          <w:i/>
          <w:color w:val="5C6873"/>
          <w:sz w:val="17"/>
        </w:rPr>
        <w:t>Рис. 2. Действующие документы иностранцев, 2026 год. Это показатель масштаба иностранного населения, а не число поступивших заявлений. Источник: migracje.gov.pl [2].</w:t>
      </w:r>
    </w:p>
    <w:p>
      <w:r>
        <w:drawing>
          <wp:inline xmlns:a="http://schemas.openxmlformats.org/drawingml/2006/main" xmlns:pic="http://schemas.openxmlformats.org/drawingml/2006/picture">
            <wp:extent cx="6144768" cy="2662733"/>
            <wp:docPr id="3" name="Picture 3" descr="Диапазоны наблюдаемого ожидания от подачи до получения карты по данным Pobytrack за июль 2026 года." title="Диапазоны наблюдаемого ожидания от подачи до получения карты по данным Pobytrack за июль 2026 год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bytrack_rang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662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 w:val="0"/>
          <w:i/>
          <w:color w:val="5C6873"/>
          <w:sz w:val="17"/>
        </w:rPr>
        <w:t>Рис. 3. Наблюдаемая полная продолжительность процесса по данным Pobytrack, июль 2026 года [3].</w:t>
      </w:r>
    </w:p>
    <w:p>
      <w:pPr>
        <w:spacing w:before="40" w:after="0" w:line="252" w:lineRule="auto"/>
      </w:pPr>
      <w:r>
        <w:rPr>
          <w:rFonts w:ascii="Arial" w:hAnsi="Arial"/>
          <w:b/>
          <w:i w:val="0"/>
          <w:color w:val="B84A4A"/>
          <w:sz w:val="18"/>
        </w:rPr>
        <w:t xml:space="preserve">Важно: </w:t>
      </w:r>
      <w:r>
        <w:rPr>
          <w:rFonts w:ascii="Arial" w:hAnsi="Arial"/>
          <w:b w:val="0"/>
          <w:i w:val="0"/>
          <w:color w:val="5C6873"/>
          <w:sz w:val="18"/>
        </w:rPr>
        <w:t>официальная статистика измеряет средний срок производства до решения, а Pobytrack — наблюдаемый путь от подачи до получения пластика. Эти показатели подтверждают общий тренд, но не складываются и не сравниваются как одна выборка.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73B57"/>
          <w:sz w:val="32"/>
        </w:rPr>
        <w:t>2. Wrocław: от одного из худших результатов к измеримому улучшению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Dolnośląskie важно как пример изменения траектории. Ещё в 2018 году NIK отрицательно оценила обслуживание иностранцев во Wrocławiu. Последующая проверка дел за 2022–2024 годы установила 60,6 тыс. незавершённых дел, 12,2 млн zł расходов по судебным решениям и 7,8 тыс. резерваций вне системы; NIK направила уведомление в прокуратуру. Подтверждены две проверки NIK — утверждение о трёх проверках в документ не включается. [6, 7]</w:t>
      </w:r>
    </w:p>
    <w:p>
      <w:r>
        <w:drawing>
          <wp:inline xmlns:a="http://schemas.openxmlformats.org/drawingml/2006/main" xmlns:pic="http://schemas.openxmlformats.org/drawingml/2006/picture">
            <wp:extent cx="6144768" cy="2294047"/>
            <wp:docPr id="4" name="Picture 4" descr="Временная диаграмма официального среднего срока во Wrocławiu: 401, 472, 273 и 303 дня в 2023–2026 годах." title="Временная диаграмма официального среднего срока во Wrocławiu: 401, 472, 273 и 303 дня в 2023–2026 годах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roclaw_turnarou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2294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Arial" w:hAnsi="Arial"/>
          <w:b w:val="0"/>
          <w:i/>
          <w:color w:val="5C6873"/>
          <w:sz w:val="17"/>
        </w:rPr>
        <w:t>Рис. 4. Изменение официального среднего срока во Wrocławiu. Источник: MSWiA [1].</w:t>
      </w:r>
    </w:p>
    <w:p>
      <w:pPr>
        <w:pStyle w:val="Heading2"/>
      </w:pPr>
      <w:r>
        <w:rPr>
          <w:rFonts w:ascii="Arial" w:hAnsi="Arial"/>
          <w:b/>
          <w:i w:val="0"/>
          <w:color w:val="2F6FA3"/>
          <w:sz w:val="26"/>
        </w:rPr>
        <w:t>Что изменилось в результате, 2025 год</w:t>
      </w:r>
    </w:p>
    <w:p>
      <w:pPr>
        <w:pStyle w:val="ListBullet"/>
        <w:spacing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средний срок снизился с 472 до 273 дней (−42%);</w:t>
      </w:r>
    </w:p>
    <w:p>
      <w:pPr>
        <w:pStyle w:val="ListBullet"/>
        <w:spacing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расходы по судебным решениям и компенсациям снизились на 84,7% год к году;</w:t>
      </w:r>
    </w:p>
    <w:p>
      <w:pPr>
        <w:pStyle w:val="ListBullet"/>
        <w:spacing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жалоб в WSA стало на 16,1% меньше;</w:t>
      </w:r>
    </w:p>
    <w:p>
      <w:pPr>
        <w:pStyle w:val="ListBullet"/>
        <w:spacing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в ноябре завершено на 21% больше дел, чем поступило;</w:t>
      </w:r>
    </w:p>
    <w:p>
      <w:pPr>
        <w:pStyle w:val="ListBullet"/>
        <w:spacing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задолженность по делам 2022 года и более ранним сокращена до 507 дел.</w:t>
      </w:r>
    </w:p>
    <w:p>
      <w:pPr>
        <w:spacing w:before="0" w:after="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DUW подчёркивает, что эти результаты получены без увеличения занятости. Поэтому опыт Wrocławia показывает влияние не только числа сотрудников, но и реорганизации, учёта дел, надзора и внешнего контроля. [8]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i w:val="0"/>
          <w:color w:val="173B57"/>
          <w:sz w:val="32"/>
        </w:rPr>
        <w:t>3. Кадровая нагрузка: только сопоставимые официальные данные</w:t>
      </w:r>
    </w:p>
    <w:p>
      <w:pPr>
        <w:spacing w:before="0" w:after="12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Показатель относится к сотрудникам, связанным с подготовкой и выдачей решений. Инфолиния и front office не учитываются, если эти сотрудники не выполняют таких задач.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700"/>
        <w:gridCol w:w="1800"/>
        <w:gridCol w:w="3760"/>
      </w:tblGrid>
      <w:tr>
        <w:trPr>
          <w:tblHeader w:val="true"/>
        </w:trPr>
        <w:tc>
          <w:tcPr>
            <w:tcW w:type="dxa" w:w="21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57"/>
                <w:sz w:val="18"/>
              </w:rPr>
              <w:t>Воеводство</w:t>
            </w:r>
          </w:p>
        </w:tc>
        <w:tc>
          <w:tcPr>
            <w:tcW w:type="dxa" w:w="17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57"/>
                <w:sz w:val="18"/>
              </w:rPr>
              <w:t>Дел на сотрудника</w:t>
            </w:r>
          </w:p>
        </w:tc>
        <w:tc>
          <w:tcPr>
            <w:tcW w:type="dxa" w:w="180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57"/>
                <w:sz w:val="18"/>
              </w:rPr>
              <w:t>Период</w:t>
            </w:r>
          </w:p>
        </w:tc>
        <w:tc>
          <w:tcPr>
            <w:tcW w:type="dxa" w:w="3760"/>
            <w:shd w:fill="F4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B57"/>
                <w:sz w:val="18"/>
              </w:rPr>
              <w:t>Как использовать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Małopolskie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D2730"/>
                <w:sz w:val="18"/>
              </w:rPr>
              <w:t>73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2023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официальный показатель MSWiA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Małopolskie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D2730"/>
                <w:sz w:val="18"/>
              </w:rPr>
              <w:t>85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I полугодие 2024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официальный показатель MSWiA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Dolnośląskie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D2730"/>
                <w:sz w:val="18"/>
              </w:rPr>
              <w:t>771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2022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историческая нагрузка до реорганизации</w:t>
            </w:r>
          </w:p>
        </w:tc>
      </w:tr>
      <w:t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Pomorskie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B84A4A"/>
                <w:sz w:val="18"/>
              </w:rPr>
              <w:t>brak danych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2025</w:t>
            </w:r>
          </w:p>
        </w:tc>
        <w:tc>
          <w:tcPr>
            <w:tcW w:type="dxa" w:w="3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1D2730"/>
                <w:sz w:val="18"/>
              </w:rPr>
              <w:t>urząd не ответил на запрос о публичной информации</w:t>
            </w:r>
          </w:p>
        </w:tc>
      </w:tr>
    </w:tbl>
    <w:p>
      <w:pPr>
        <w:spacing w:before="60" w:after="160"/>
        <w:jc w:val="center"/>
      </w:pPr>
      <w:r>
        <w:rPr>
          <w:rFonts w:ascii="Arial" w:hAnsi="Arial"/>
          <w:b w:val="0"/>
          <w:i/>
          <w:color w:val="5C6873"/>
          <w:sz w:val="17"/>
        </w:rPr>
        <w:t>Таблица 1. Все значения снабжены периодом. 73/85 и 771 получены из официальных материалов RPO/MSWiA [4, 5]. Факт отсутствия ответа Pomorskiego urzędu зафиксирован в исследовании Pracodawcy RP [9].</w:t>
      </w:r>
    </w:p>
    <w:p>
      <w:pPr>
        <w:spacing w:before="0"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Значения 1 500 и 1 433 из отчёта Pracodawcy RP исключены: в нём смешаны текущие дела и пересчитанный годовой поток. В сравнении используются официальные показатели с определённым периодом.</w:t>
      </w:r>
    </w:p>
    <w:p>
      <w:pPr>
        <w:pStyle w:val="Heading2"/>
      </w:pPr>
      <w:r>
        <w:rPr>
          <w:rFonts w:ascii="Arial" w:hAnsi="Arial"/>
          <w:b/>
          <w:i w:val="0"/>
          <w:color w:val="2F6FA3"/>
          <w:sz w:val="26"/>
        </w:rPr>
        <w:t>Итог сравнительной динамики</w:t>
      </w:r>
    </w:p>
    <w:p>
      <w:pPr>
        <w:pStyle w:val="ListBullet"/>
        <w:spacing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Kraków: крупный масштаб миграции сочетается с существенно более коротким сроком.</w:t>
      </w:r>
    </w:p>
    <w:p>
      <w:pPr>
        <w:pStyle w:val="ListBullet"/>
        <w:spacing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Wrocław: после внешнего контроля и реорганизации траектория изменилась за один год.</w:t>
      </w:r>
    </w:p>
    <w:p>
      <w:pPr>
        <w:pStyle w:val="ListBullet"/>
        <w:spacing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Gdańsk: срок растёт четыре года подряд; предпринятые меры ситуацию не исправили.</w:t>
      </w:r>
    </w:p>
    <w:p>
      <w:pPr>
        <w:spacing w:before="0" w:after="100" w:line="264" w:lineRule="auto"/>
      </w:pPr>
      <w:r>
        <w:rPr>
          <w:rFonts w:ascii="Arial" w:hAnsi="Arial"/>
          <w:b w:val="0"/>
          <w:i w:val="0"/>
          <w:color w:val="1D2730"/>
          <w:sz w:val="22"/>
        </w:rPr>
        <w:t>При одинаковой правовой рамке воеводские администрации показывают разные сроки, нагрузку и динамику. Следовательно, значимая часть эффективности формируется на локальном уровне.</w:t>
      </w:r>
    </w:p>
    <w:p>
      <w:pPr>
        <w:pStyle w:val="Heading2"/>
      </w:pPr>
      <w:r>
        <w:rPr>
          <w:rFonts w:ascii="Arial" w:hAnsi="Arial"/>
          <w:b/>
          <w:i w:val="0"/>
          <w:color w:val="2F6FA3"/>
          <w:sz w:val="26"/>
        </w:rPr>
        <w:t>Источники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[1] </w:t>
      </w:r>
      <w:hyperlink r:id="rId19">
        <w:r>
          <w:rPr>
            <w:rFonts w:ascii="Arial" w:hAnsi="Arial"/>
            <w:color w:val="2F6FA3"/>
            <w:u w:val="single"/>
            <w:sz w:val="15"/>
            <w:szCs w:val="15"/>
          </w:rPr>
          <w:t>MSWiA: interpelacja nr 18089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сроки 2023–2026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[2] </w:t>
      </w:r>
      <w:hyperlink r:id="rId20">
        <w:r>
          <w:rPr>
            <w:rFonts w:ascii="Arial" w:hAnsi="Arial"/>
            <w:color w:val="2F6FA3"/>
            <w:u w:val="single"/>
            <w:sz w:val="15"/>
            <w:szCs w:val="15"/>
          </w:rPr>
          <w:t>Migracje.gov.pl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актуальные документы, 2026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[3] </w:t>
      </w:r>
      <w:hyperlink r:id="rId21">
        <w:r>
          <w:rPr>
            <w:rFonts w:ascii="Arial" w:hAnsi="Arial"/>
            <w:color w:val="2F6FA3"/>
            <w:u w:val="single"/>
            <w:sz w:val="15"/>
            <w:szCs w:val="15"/>
          </w:rPr>
          <w:t>Pobytrack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наблюдения, июль 2026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[4] </w:t>
      </w:r>
      <w:hyperlink r:id="rId22">
        <w:r>
          <w:rPr>
            <w:rFonts w:ascii="Arial" w:hAnsi="Arial"/>
            <w:color w:val="2F6FA3"/>
            <w:u w:val="single"/>
            <w:sz w:val="15"/>
            <w:szCs w:val="15"/>
          </w:rPr>
          <w:t>RPO, 10.07.2025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73/85, Małopolskie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[5] </w:t>
      </w:r>
      <w:hyperlink r:id="rId23">
        <w:r>
          <w:rPr>
            <w:rFonts w:ascii="Arial" w:hAnsi="Arial"/>
            <w:color w:val="2F6FA3"/>
            <w:u w:val="single"/>
            <w:sz w:val="15"/>
            <w:szCs w:val="15"/>
          </w:rPr>
          <w:t>RPO, 27.09.2024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771, Dolnośląskie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[6] </w:t>
      </w:r>
      <w:hyperlink r:id="rId24">
        <w:r>
          <w:rPr>
            <w:rFonts w:ascii="Arial" w:hAnsi="Arial"/>
            <w:color w:val="2F6FA3"/>
            <w:u w:val="single"/>
            <w:sz w:val="15"/>
            <w:szCs w:val="15"/>
          </w:rPr>
          <w:t>NIK: Państwo niegotowe…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контроль 2018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[7] </w:t>
      </w:r>
      <w:hyperlink r:id="rId25">
        <w:r>
          <w:rPr>
            <w:rFonts w:ascii="Arial" w:hAnsi="Arial"/>
            <w:color w:val="2F6FA3"/>
            <w:u w:val="single"/>
            <w:sz w:val="15"/>
            <w:szCs w:val="15"/>
          </w:rPr>
          <w:t>NIK: Cudzoziemcy równi…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контроль 2022–2024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[8] </w:t>
      </w:r>
      <w:hyperlink r:id="rId26">
        <w:r>
          <w:rPr>
            <w:rFonts w:ascii="Arial" w:hAnsi="Arial"/>
            <w:color w:val="2F6FA3"/>
            <w:u w:val="single"/>
            <w:sz w:val="15"/>
            <w:szCs w:val="15"/>
          </w:rPr>
          <w:t>DUW: результаты 2025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без увеличения занятости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[9] </w:t>
      </w:r>
      <w:hyperlink r:id="rId27">
        <w:r>
          <w:rPr>
            <w:rFonts w:ascii="Arial" w:hAnsi="Arial"/>
            <w:color w:val="2F6FA3"/>
            <w:u w:val="single"/>
            <w:sz w:val="15"/>
            <w:szCs w:val="15"/>
          </w:rPr>
          <w:t>Pracodawcy RP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запросы информации, I–V 2025</w:t>
      </w:r>
    </w:p>
    <w:p>
      <w:pPr>
        <w:spacing w:after="20" w:line="240" w:lineRule="auto"/>
        <w:ind w:left="259" w:hanging="259"/>
      </w:pPr>
      <w:r>
        <w:rPr>
          <w:rFonts w:ascii="Arial" w:hAnsi="Arial"/>
          <w:b/>
          <w:i w:val="0"/>
          <w:color w:val="173B57"/>
          <w:sz w:val="15"/>
        </w:rPr>
        <w:t xml:space="preserve">[10] </w:t>
      </w:r>
      <w:hyperlink r:id="rId28">
        <w:r>
          <w:rPr>
            <w:rFonts w:ascii="Arial" w:hAnsi="Arial"/>
            <w:color w:val="2F6FA3"/>
            <w:u w:val="single"/>
            <w:sz w:val="15"/>
            <w:szCs w:val="15"/>
          </w:rPr>
          <w:t>Migracje.gov.pl: заявления на pobyt czasowy</w:t>
        </w:r>
      </w:hyperlink>
      <w:r>
        <w:rPr>
          <w:rFonts w:ascii="Arial" w:hAnsi="Arial"/>
          <w:b w:val="0"/>
          <w:i w:val="0"/>
          <w:color w:val="5C6873"/>
          <w:sz w:val="15"/>
        </w:rPr>
        <w:t xml:space="preserve"> — единая разбивка по органам, 2025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037" w:right="1181" w:bottom="979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C6873"/>
        <w:sz w:val="17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C6873"/>
        <w:sz w:val="17"/>
      </w:rPr>
      <w:fldChar w:fldCharType="begin"/>
      <w:instrText xml:space="preserve"> PAGE 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C68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D27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73B5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6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B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hyperlink" Target="https://api.sejm.gov.pl/sejm/term10/interpellations/18089/reply/DWDJHZ/body" TargetMode="External"/><Relationship Id="rId20" Type="http://schemas.openxmlformats.org/officeDocument/2006/relationships/hyperlink" Target="https://migracje.gov.pl/statystyki/zakres/polska/" TargetMode="External"/><Relationship Id="rId21" Type="http://schemas.openxmlformats.org/officeDocument/2006/relationships/hyperlink" Target="https://t.me/pobytrack" TargetMode="External"/><Relationship Id="rId22" Type="http://schemas.openxmlformats.org/officeDocument/2006/relationships/hyperlink" Target="https://bip.brpo.gov.pl/sites/default/files/2025-07/Do_MSWiA_cudzoziemcy_legalizacja_pobytu_przewleklosc_10_07_2025.pdf" TargetMode="External"/><Relationship Id="rId23" Type="http://schemas.openxmlformats.org/officeDocument/2006/relationships/hyperlink" Target="https://bip.brpo.gov.pl/sites/default/files/2024-10/Do_MSWiA_cudzoziemcy_legalizacja_pobytu_przewleklosc_mswia_27_09_2024.pdf" TargetMode="External"/><Relationship Id="rId24" Type="http://schemas.openxmlformats.org/officeDocument/2006/relationships/hyperlink" Target="https://www.nik.gov.pl/najnowsze-informacje-o-wynikach-kontroli/panstwo-niegotowe-na-cudzoziemcow.html" TargetMode="External"/><Relationship Id="rId25" Type="http://schemas.openxmlformats.org/officeDocument/2006/relationships/hyperlink" Target="https://www.nik.gov.pl/aktualnosci/spojnosc-i-infrastruktura/obsluga-paszportowa-cudzoziemcow-wroclaw.html" TargetMode="External"/><Relationship Id="rId26" Type="http://schemas.openxmlformats.org/officeDocument/2006/relationships/hyperlink" Target="https://www.gov.pl/web/dolnoslaski-uw/wydzial-spraw-obywatelskich-i-cudzoziemcow-w-2025-roku" TargetMode="External"/><Relationship Id="rId27" Type="http://schemas.openxmlformats.org/officeDocument/2006/relationships/hyperlink" Target="https://pracodawcyrp.pl/" TargetMode="External"/><Relationship Id="rId28" Type="http://schemas.openxmlformats.org/officeDocument/2006/relationships/hyperlink" Target="https://migracje.gov.pl/wp-json/udscmap/v1/applications/poland?year=2025&amp;groupBy=institution&amp;fields=total%2Cinstitution&amp;caseType=1&amp;order=DESC&amp;orderBy=total&amp;limit=1000&amp;wpml_language=p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Сравнительная динамика легализации пребывания</dc:title>
  <dc:subject>Małopolskie, Dolnośląskie и Pomorskie, 2023–2026</dc:subject>
  <dc:creator>Tu Żyjemy</dc:creator>
  <cp:keywords>legalizacja pobytu, Małopolskie, Dolnośląskie, Pomorskie, cudzoziemcy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