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888C95B" w14:textId="77777777" w:rsidR="001B0AEC" w:rsidRDefault="001B0AEC">
      <w:pPr>
        <w:pStyle w:val="Heading1"/>
        <w:shd w:val="clear" w:color="auto" w:fill="F8FAFC"/>
        <w:divId w:val="1592424014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COMPUTAÇÃO EM NUVEM I</w:t>
      </w:r>
    </w:p>
    <w:p w14:paraId="72A16BB7" w14:textId="77777777" w:rsidR="001B0AEC" w:rsidRDefault="001B0AEC">
      <w:pPr>
        <w:shd w:val="clear" w:color="auto" w:fill="F8FAFC"/>
        <w:divId w:val="969364937"/>
        <w:rPr>
          <w:rFonts w:ascii="Segoe UI" w:eastAsia="Times New Roman" w:hAnsi="Segoe UI" w:cs="Segoe UI"/>
          <w:b/>
          <w:bCs/>
          <w:color w:val="475569"/>
        </w:rPr>
      </w:pPr>
      <w:r>
        <w:rPr>
          <w:rFonts w:ascii="Segoe UI" w:eastAsia="Times New Roman" w:hAnsi="Segoe UI" w:cs="Segoe UI"/>
          <w:b/>
          <w:bCs/>
          <w:color w:val="475569"/>
        </w:rPr>
        <w:t>Atividade de Pesquisa e Prática — Contextualização, Modelos de Implantação, Características, Desafios e Modelos de Serviço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1954"/>
        <w:gridCol w:w="2122"/>
        <w:gridCol w:w="2290"/>
      </w:tblGrid>
      <w:tr w:rsidR="00000000" w14:paraId="18FB22C7" w14:textId="77777777">
        <w:trPr>
          <w:divId w:val="1592424014"/>
        </w:trPr>
        <w:tc>
          <w:tcPr>
            <w:tcW w:w="1250" w:type="pc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2E8F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AE4C82" w14:textId="77777777" w:rsidR="001B0AEC" w:rsidRDefault="001B0AEC">
            <w:pPr>
              <w:spacing w:before="150"/>
              <w:rPr>
                <w:rFonts w:ascii="Segoe UI" w:eastAsia="Times New Roman" w:hAnsi="Segoe UI" w:cs="Segoe U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E293B"/>
                <w:sz w:val="20"/>
                <w:szCs w:val="20"/>
              </w:rPr>
              <w:t>Aluno(a):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B9E8F8" w14:textId="77777777" w:rsidR="001B0AEC" w:rsidRDefault="001B0AEC">
            <w:pPr>
              <w:spacing w:before="15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[Preencha seu Nome Completo]</w:t>
            </w:r>
          </w:p>
        </w:tc>
        <w:tc>
          <w:tcPr>
            <w:tcW w:w="1250" w:type="pc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2E8F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2B78D1" w14:textId="77777777" w:rsidR="001B0AEC" w:rsidRDefault="001B0AEC">
            <w:pPr>
              <w:spacing w:before="150"/>
              <w:rPr>
                <w:rFonts w:ascii="Segoe UI" w:eastAsia="Times New Roman" w:hAnsi="Segoe UI" w:cs="Segoe U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E293B"/>
                <w:sz w:val="20"/>
                <w:szCs w:val="20"/>
              </w:rPr>
              <w:t>Turma: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6B42F" w14:textId="77777777" w:rsidR="001B0AEC" w:rsidRDefault="001B0AEC">
            <w:pPr>
              <w:spacing w:before="15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Computação em Nuvem I</w:t>
            </w:r>
          </w:p>
        </w:tc>
      </w:tr>
      <w:tr w:rsidR="00000000" w14:paraId="0D434643" w14:textId="77777777">
        <w:trPr>
          <w:divId w:val="1592424014"/>
        </w:trPr>
        <w:tc>
          <w:tcPr>
            <w:tcW w:w="1250" w:type="pc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2E8F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71EC81" w14:textId="77777777" w:rsidR="001B0AEC" w:rsidRDefault="001B0AEC">
            <w:pPr>
              <w:spacing w:before="150"/>
              <w:rPr>
                <w:rFonts w:ascii="Segoe UI" w:eastAsia="Times New Roman" w:hAnsi="Segoe UI" w:cs="Segoe U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E293B"/>
                <w:sz w:val="20"/>
                <w:szCs w:val="20"/>
              </w:rPr>
              <w:t>Data de Entrega: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8B0441" w14:textId="77777777" w:rsidR="001B0AEC" w:rsidRDefault="001B0AEC">
            <w:pPr>
              <w:spacing w:before="15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27/09/2026</w:t>
            </w:r>
          </w:p>
        </w:tc>
        <w:tc>
          <w:tcPr>
            <w:tcW w:w="1250" w:type="pc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2E8F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F00F7" w14:textId="77777777" w:rsidR="001B0AEC" w:rsidRDefault="001B0AEC">
            <w:pPr>
              <w:spacing w:before="150"/>
              <w:rPr>
                <w:rFonts w:ascii="Segoe UI" w:eastAsia="Times New Roman" w:hAnsi="Segoe UI" w:cs="Segoe U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E293B"/>
                <w:sz w:val="20"/>
                <w:szCs w:val="20"/>
              </w:rPr>
              <w:t>Formato: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44C4EA" w14:textId="77777777" w:rsidR="001B0AEC" w:rsidRDefault="001B0AEC">
            <w:pPr>
              <w:spacing w:before="15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Relatório Técnico Escrito e Evidências Práticas</w:t>
            </w:r>
          </w:p>
        </w:tc>
      </w:tr>
    </w:tbl>
    <w:p w14:paraId="68EB388D" w14:textId="77777777" w:rsidR="001B0AEC" w:rsidRDefault="001B0AEC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PARTE 1 — ATIVIDADE TEÓRICA (PESQUISA DIRIGIDA)</w:t>
      </w:r>
    </w:p>
    <w:p w14:paraId="22E56C9D" w14:textId="77777777" w:rsidR="001B0AEC" w:rsidRDefault="001B0AEC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Bloco 1 — Contextualização e Modelos de Implantação</w:t>
      </w:r>
    </w:p>
    <w:p w14:paraId="56849262" w14:textId="77777777" w:rsidR="001B0AEC" w:rsidRDefault="001B0AEC">
      <w:pPr>
        <w:pStyle w:val="Heading4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 O que caracteriza um sistema de computação em nuvem em comparação com a infraestrutura de TI tradicional (on-premise)? Três diferenças.</w:t>
      </w:r>
    </w:p>
    <w:p w14:paraId="36F0A127" w14:textId="77777777" w:rsidR="001B0AEC" w:rsidRDefault="001B0AEC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Um sistema de computação em nuvem caracteriza-se por fornecer recursos computacionais (processamento, armazenamento, redes e softwares) como um </w:t>
      </w:r>
      <w:r>
        <w:rPr>
          <w:rStyle w:val="Strong"/>
          <w:rFonts w:ascii="Segoe UI" w:hAnsi="Segoe UI" w:cs="Segoe UI"/>
          <w:color w:val="1A1A1A"/>
          <w:sz w:val="22"/>
          <w:szCs w:val="22"/>
        </w:rPr>
        <w:t>serviço entregue sob demanda via rede</w:t>
      </w:r>
      <w:r>
        <w:rPr>
          <w:rFonts w:ascii="Segoe UI" w:hAnsi="Segoe UI" w:cs="Segoe UI"/>
          <w:color w:val="1A1A1A"/>
          <w:sz w:val="22"/>
          <w:szCs w:val="22"/>
        </w:rPr>
        <w:t xml:space="preserve">, abstraindo a infraestrutura física do usuário final. Conforme a definição oficial do </w:t>
      </w:r>
      <w:r>
        <w:rPr>
          <w:rStyle w:val="Emphasis"/>
          <w:rFonts w:ascii="Segoe UI" w:hAnsi="Segoe UI" w:cs="Segoe UI"/>
          <w:color w:val="1A1A1A"/>
          <w:sz w:val="22"/>
          <w:szCs w:val="22"/>
        </w:rPr>
        <w:t>National Institute of Standards and Technology</w:t>
      </w:r>
      <w:r>
        <w:rPr>
          <w:rFonts w:ascii="Segoe UI" w:hAnsi="Segoe UI" w:cs="Segoe UI"/>
          <w:color w:val="1A1A1A"/>
          <w:sz w:val="22"/>
          <w:szCs w:val="22"/>
        </w:rPr>
        <w:t xml:space="preserve"> </w:t>
      </w:r>
      <w:r>
        <w:rPr>
          <w:rFonts w:ascii="Segoe UI" w:hAnsi="Segoe UI" w:cs="Segoe UI"/>
          <w:color w:val="1A1A1A"/>
          <w:sz w:val="22"/>
          <w:szCs w:val="22"/>
        </w:rPr>
        <w:t xml:space="preserve">(NIST SP 800-145), é um modelo que viabiliza o acesso conveniente, onipresente e compartilhado a um pool de capacidades configuráveis com mínimo esforço de gestão. </w:t>
      </w:r>
    </w:p>
    <w:p w14:paraId="4863300E" w14:textId="77777777" w:rsidR="001B0AEC" w:rsidRDefault="001B0AEC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Em comparação direta com a infraestrutura tradicional (on-premise), destacam-se três diferenças fundamentais:</w:t>
      </w:r>
    </w:p>
    <w:p w14:paraId="20376F97" w14:textId="77777777" w:rsidR="001B0AEC" w:rsidRDefault="001B0AEC">
      <w:pPr>
        <w:numPr>
          <w:ilvl w:val="0"/>
          <w:numId w:val="1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Modelo Financeiro (CapEx vs. OpEx):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A TI tradicional baseia-se em 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CapEx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(gastos de capital), exigindo aquisição prévia e onerosa de servidores físicos, cabeamento, geradores e climatização, com depreciação patrimonial de longo prazo. A nuvem atua sob o modelo 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OpEx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(despesas operacionais), no qual não há investimento antecipado em infraestrutura física; paga-se estritamente pelo uso operacional sob demanda (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pay-as-you-go</w:t>
      </w:r>
      <w:r>
        <w:rPr>
          <w:rFonts w:ascii="Segoe UI" w:eastAsia="Times New Roman" w:hAnsi="Segoe UI" w:cs="Segoe UI"/>
          <w:color w:val="1A1A1A"/>
          <w:sz w:val="22"/>
          <w:szCs w:val="22"/>
        </w:rPr>
        <w:t>).</w:t>
      </w:r>
    </w:p>
    <w:p w14:paraId="09C0B9EB" w14:textId="77777777" w:rsidR="001B0AEC" w:rsidRDefault="001B0AEC">
      <w:pPr>
        <w:numPr>
          <w:ilvl w:val="0"/>
          <w:numId w:val="1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Elasticidade e Tempo de Provisionamento: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No modelo on-premise, o planejamento de capacidade é rígido. Para absorver picos de acesso, a empresa precisa manter servidores ociosos durante o ano inteiro; a aquisição de novos servidores físicos pode demandar semanas ou meses. Na nuvem, há 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elasticidade rápida</w:t>
      </w:r>
      <w:r>
        <w:rPr>
          <w:rFonts w:ascii="Segoe UI" w:eastAsia="Times New Roman" w:hAnsi="Segoe UI" w:cs="Segoe UI"/>
          <w:color w:val="1A1A1A"/>
          <w:sz w:val="22"/>
          <w:szCs w:val="22"/>
        </w:rPr>
        <w:t>: instâncias computacionais são alocadas e liberadas automaticamente em segundos ou minutos conforme a demanda real.</w:t>
      </w:r>
    </w:p>
    <w:p w14:paraId="41A9197A" w14:textId="77777777" w:rsidR="001B0AEC" w:rsidRDefault="001B0AEC">
      <w:pPr>
        <w:numPr>
          <w:ilvl w:val="0"/>
          <w:numId w:val="1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lastRenderedPageBreak/>
        <w:t>Manutenção de Infraestrutura e Hardware: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Fonts w:ascii="Segoe UI" w:eastAsia="Times New Roman" w:hAnsi="Segoe UI" w:cs="Segoe UI"/>
          <w:color w:val="1A1A1A"/>
          <w:sz w:val="22"/>
          <w:szCs w:val="22"/>
        </w:rPr>
        <w:t>Na TI local, a equipe interna é integralmente responsável pela manutenção física, troca de discos danificados, no-breaks, refrigeração e segurança perimetral física. Na nuvem, o provedor assume 100% da manutenção física e resiliência do data center sob rigorosos acordos de nível de serviço (SLAs), permitindo que a equipe corporativa foque em inovação e regras de negócio.</w:t>
      </w:r>
    </w:p>
    <w:p w14:paraId="0F434480" w14:textId="77777777" w:rsidR="001B0AEC" w:rsidRDefault="001B0AEC">
      <w:pPr>
        <w:divId w:val="1305502370"/>
        <w:rPr>
          <w:rFonts w:ascii="Segoe UI" w:eastAsia="Times New Roman" w:hAnsi="Segoe UI" w:cs="Segoe UI"/>
          <w:i/>
          <w:iCs/>
          <w:color w:val="64748B"/>
          <w:sz w:val="18"/>
          <w:szCs w:val="18"/>
        </w:rPr>
      </w:pPr>
      <w:r>
        <w:rPr>
          <w:rFonts w:ascii="Segoe UI" w:eastAsia="Times New Roman" w:hAnsi="Segoe UI" w:cs="Segoe UI"/>
          <w:i/>
          <w:iCs/>
          <w:color w:val="64748B"/>
          <w:sz w:val="18"/>
          <w:szCs w:val="18"/>
        </w:rPr>
        <w:t>Fontes: MELL, P.; GRANCE, T. The NIST Definition of Cloud Computing. NIST SP 800-145, 2011; AWS Cloud Economics Overview.</w:t>
      </w:r>
    </w:p>
    <w:p w14:paraId="22A79A8C" w14:textId="77777777" w:rsidR="001B0AEC" w:rsidRDefault="001B0AEC">
      <w:pPr>
        <w:pStyle w:val="Heading4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 Definição com palavras próprias de Nuvem Pública, Nuvem Privada e Nuvem Híbrida com exemplos reais ou casos de uso corporativo.</w:t>
      </w:r>
    </w:p>
    <w:p w14:paraId="12E0C19B" w14:textId="77777777" w:rsidR="001B0AEC" w:rsidRDefault="001B0AEC">
      <w:pPr>
        <w:numPr>
          <w:ilvl w:val="0"/>
          <w:numId w:val="2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Nuvem Pública (Public Cloud):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Infraestrutura computacional pertencente e operada por um provedor externo especializado, compartilhada por múltiplos clientes distintos (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multi-tenant</w:t>
      </w:r>
      <w:r>
        <w:rPr>
          <w:rFonts w:ascii="Segoe UI" w:eastAsia="Times New Roman" w:hAnsi="Segoe UI" w:cs="Segoe UI"/>
          <w:color w:val="1A1A1A"/>
          <w:sz w:val="22"/>
          <w:szCs w:val="22"/>
        </w:rPr>
        <w:t>) por meio da internet pública ou conexões seguras. O isolamento entre clientes é puramente lógico e criptográfico.</w:t>
      </w:r>
      <w:r>
        <w:rPr>
          <w:rFonts w:ascii="Segoe UI" w:eastAsia="Times New Roman" w:hAnsi="Segoe UI" w:cs="Segoe UI"/>
          <w:color w:val="1A1A1A"/>
          <w:sz w:val="22"/>
          <w:szCs w:val="22"/>
        </w:rPr>
        <w:br/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Exemplo real / Caso de uso: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Amazon Web Services (AWS)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, 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Microsoft Azure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e 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Google Cloud (GCP)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. Caso corporativo: a 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Netflix</w:t>
      </w:r>
      <w:r>
        <w:rPr>
          <w:rFonts w:ascii="Segoe UI" w:eastAsia="Times New Roman" w:hAnsi="Segoe UI" w:cs="Segoe UI"/>
          <w:color w:val="1A1A1A"/>
          <w:sz w:val="22"/>
          <w:szCs w:val="22"/>
        </w:rPr>
        <w:t>, que desativou seus data centers proprietários e migrou 100% de seus microsserviços, inteligência analítica e distribuição de streaming de vídeo para a nuvem pública da AWS.</w:t>
      </w:r>
    </w:p>
    <w:p w14:paraId="53701B7E" w14:textId="77777777" w:rsidR="001B0AEC" w:rsidRDefault="001B0AEC">
      <w:pPr>
        <w:numPr>
          <w:ilvl w:val="0"/>
          <w:numId w:val="2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Nuvem Privada (Private Cloud):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Infraestrutura provisionada para uso exclusivo de uma única organização (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single-tenant</w:t>
      </w:r>
      <w:r>
        <w:rPr>
          <w:rFonts w:ascii="Segoe UI" w:eastAsia="Times New Roman" w:hAnsi="Segoe UI" w:cs="Segoe UI"/>
          <w:color w:val="1A1A1A"/>
          <w:sz w:val="22"/>
          <w:szCs w:val="22"/>
        </w:rPr>
        <w:t>). Pode estar localizada fisicamente no próprio data center da organização (on-premise) ou em regime de colocation dedicado, oferecendo governança e controle irrestritos sobre os dados e redes.</w:t>
      </w:r>
      <w:r>
        <w:rPr>
          <w:rFonts w:ascii="Segoe UI" w:eastAsia="Times New Roman" w:hAnsi="Segoe UI" w:cs="Segoe UI"/>
          <w:color w:val="1A1A1A"/>
          <w:sz w:val="22"/>
          <w:szCs w:val="22"/>
        </w:rPr>
        <w:br/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Exemplo real / Caso de uso: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Plataformas como 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OpenStack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, 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VMware Cloud Foundation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ou 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Red Hat OpenShift on-premise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. Caso corporativo: 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Forças Armadas e Ministérios da Defesa</w:t>
      </w:r>
      <w:r>
        <w:rPr>
          <w:rFonts w:ascii="Segoe UI" w:eastAsia="Times New Roman" w:hAnsi="Segoe UI" w:cs="Segoe UI"/>
          <w:color w:val="1A1A1A"/>
          <w:sz w:val="22"/>
          <w:szCs w:val="22"/>
        </w:rPr>
        <w:t>, que operam nuvens privadas físicas totalmente isoladas da internet (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air-gapped</w:t>
      </w:r>
      <w:r>
        <w:rPr>
          <w:rFonts w:ascii="Segoe UI" w:eastAsia="Times New Roman" w:hAnsi="Segoe UI" w:cs="Segoe UI"/>
          <w:color w:val="1A1A1A"/>
          <w:sz w:val="22"/>
          <w:szCs w:val="22"/>
        </w:rPr>
        <w:t>) para assegurar o sigilo de inteligência bélica e segurança nacional.</w:t>
      </w:r>
    </w:p>
    <w:p w14:paraId="0EDB95DB" w14:textId="77777777" w:rsidR="001B0AEC" w:rsidRDefault="001B0AEC">
      <w:pPr>
        <w:numPr>
          <w:ilvl w:val="0"/>
          <w:numId w:val="2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Nuvem Híbrida (Hybrid Cloud):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Composição integrada de duas ou mais nuvens distintas (obrigatoriamente pelo menos uma nuvem privada e uma nuvem pública). As infraestruturas permanecem como entidades autônomas, mas são unificadas por tecnologias padronizadas ou proprietárias que permitem a comunicação segura, portabilidade de dados e orquestração de cargas de trabalho.</w:t>
      </w:r>
      <w:r>
        <w:rPr>
          <w:rFonts w:ascii="Segoe UI" w:eastAsia="Times New Roman" w:hAnsi="Segoe UI" w:cs="Segoe UI"/>
          <w:color w:val="1A1A1A"/>
          <w:sz w:val="22"/>
          <w:szCs w:val="22"/>
        </w:rPr>
        <w:br/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Exemplo real / Caso de uso: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Azure Arc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, 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AWS Outposts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e 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Google Distributed Cloud (Anthos)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. Caso corporativo: o 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Itaú Unibanco</w:t>
      </w:r>
      <w:r>
        <w:rPr>
          <w:rFonts w:ascii="Segoe UI" w:eastAsia="Times New Roman" w:hAnsi="Segoe UI" w:cs="Segoe UI"/>
          <w:color w:val="1A1A1A"/>
          <w:sz w:val="22"/>
          <w:szCs w:val="22"/>
        </w:rPr>
        <w:t>, que mantém seu processamento bancário central de contas e liquidação crítica em mainframes/nuvem privada on-premise, enquanto suas aplicações de Internet Banking móvel, inteligência de crédito e Open Finance rodam de forma elástica na nuvem pública.</w:t>
      </w:r>
    </w:p>
    <w:p w14:paraId="1910A750" w14:textId="77777777" w:rsidR="001B0AEC" w:rsidRDefault="001B0AEC">
      <w:pPr>
        <w:divId w:val="107749049"/>
        <w:rPr>
          <w:rFonts w:ascii="Segoe UI" w:eastAsia="Times New Roman" w:hAnsi="Segoe UI" w:cs="Segoe UI"/>
          <w:i/>
          <w:iCs/>
          <w:color w:val="64748B"/>
          <w:sz w:val="18"/>
          <w:szCs w:val="18"/>
        </w:rPr>
      </w:pPr>
      <w:r>
        <w:rPr>
          <w:rFonts w:ascii="Segoe UI" w:eastAsia="Times New Roman" w:hAnsi="Segoe UI" w:cs="Segoe UI"/>
          <w:i/>
          <w:iCs/>
          <w:color w:val="64748B"/>
          <w:sz w:val="18"/>
          <w:szCs w:val="18"/>
        </w:rPr>
        <w:t>Fontes: MELL, P.; GRANCE, T. NIST SP 800-145, 2011; Microsoft Learn (Azure Hybrid Cloud Strategy).</w:t>
      </w:r>
    </w:p>
    <w:p w14:paraId="2EEF56BF" w14:textId="77777777" w:rsidR="001B0AEC" w:rsidRDefault="001B0AEC">
      <w:pPr>
        <w:pStyle w:val="Heading4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3. Situações de opção por Nuvem Híbrida em vez de Pública Pura no setor fortemente regulado (Setor Bancário).</w:t>
      </w:r>
    </w:p>
    <w:p w14:paraId="2EDF9715" w14:textId="77777777" w:rsidR="001B0AEC" w:rsidRDefault="001B0AEC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Uma organização opta pela nuvem híbrida quando precisa usufruir da agilidade e escalabilidade da nuvem pública, mas está restrita por requisitos legais de soberania de dados, necessidade de auditoria física direta ou latência crítica de transações. </w:t>
      </w:r>
    </w:p>
    <w:p w14:paraId="52B3D539" w14:textId="77777777" w:rsidR="001B0AEC" w:rsidRDefault="001B0AEC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No </w:t>
      </w:r>
      <w:r>
        <w:rPr>
          <w:rStyle w:val="Strong"/>
          <w:rFonts w:ascii="Segoe UI" w:hAnsi="Segoe UI" w:cs="Segoe UI"/>
          <w:color w:val="1A1A1A"/>
          <w:sz w:val="22"/>
          <w:szCs w:val="22"/>
        </w:rPr>
        <w:t>Setor Bancário Brasileiro</w:t>
      </w:r>
      <w:r>
        <w:rPr>
          <w:rFonts w:ascii="Segoe UI" w:hAnsi="Segoe UI" w:cs="Segoe UI"/>
          <w:color w:val="1A1A1A"/>
          <w:sz w:val="22"/>
          <w:szCs w:val="22"/>
        </w:rPr>
        <w:t xml:space="preserve">, sob as normas do Conselho Monetário Nacional (CMN) e Banco Central do Brasil (BACEN), em especial a </w:t>
      </w:r>
      <w:r>
        <w:rPr>
          <w:rStyle w:val="Strong"/>
          <w:rFonts w:ascii="Segoe UI" w:hAnsi="Segoe UI" w:cs="Segoe UI"/>
          <w:color w:val="1A1A1A"/>
          <w:sz w:val="22"/>
          <w:szCs w:val="22"/>
        </w:rPr>
        <w:t>Resolução CMN nº 4.893/2020</w:t>
      </w:r>
      <w:r>
        <w:rPr>
          <w:rFonts w:ascii="Segoe UI" w:hAnsi="Segoe UI" w:cs="Segoe UI"/>
          <w:color w:val="1A1A1A"/>
          <w:sz w:val="22"/>
          <w:szCs w:val="22"/>
        </w:rPr>
        <w:t xml:space="preserve"> e </w:t>
      </w:r>
      <w:r>
        <w:rPr>
          <w:rStyle w:val="Strong"/>
          <w:rFonts w:ascii="Segoe UI" w:hAnsi="Segoe UI" w:cs="Segoe UI"/>
          <w:color w:val="1A1A1A"/>
          <w:sz w:val="22"/>
          <w:szCs w:val="22"/>
        </w:rPr>
        <w:t>Resolução BCB nº 85/2021</w:t>
      </w:r>
      <w:r>
        <w:rPr>
          <w:rFonts w:ascii="Segoe UI" w:hAnsi="Segoe UI" w:cs="Segoe UI"/>
          <w:color w:val="1A1A1A"/>
          <w:sz w:val="22"/>
          <w:szCs w:val="22"/>
        </w:rPr>
        <w:t xml:space="preserve">, a opção pela nuvem híbrida é fundamentada em: </w:t>
      </w:r>
    </w:p>
    <w:p w14:paraId="5807C851" w14:textId="77777777" w:rsidR="001B0AEC" w:rsidRDefault="001B0AEC">
      <w:pPr>
        <w:numPr>
          <w:ilvl w:val="0"/>
          <w:numId w:val="3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Conformidade e Sigilo Bancário (LC 105/2001):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O BACEN impõe dever de custódia ininterrupta e direito a vistorias e auditorias físicas. Em nuvens públicas multitenant, o banco não pode inspecionar os racks físicos do data center em respeito à privacidade dos outros clientes. Na nuvem privada, o banco mantém o controle físico das chaves criptográficas em módulos HSM dedicados.</w:t>
      </w:r>
    </w:p>
    <w:p w14:paraId="3D9CB8BF" w14:textId="77777777" w:rsidR="001B0AEC" w:rsidRDefault="001B0AEC">
      <w:pPr>
        <w:numPr>
          <w:ilvl w:val="0"/>
          <w:numId w:val="3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Latência Ultrabaixa em Transações de Compensação (PIX / SPB):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Transações financeiras instantâneas exigem tempos de resposta de milissegundos. Processar o núcleo de débitos/créditos em barramentos locais no data center dedicado elimina riscos de latência da internet pública.</w:t>
      </w:r>
    </w:p>
    <w:p w14:paraId="406851C0" w14:textId="77777777" w:rsidR="001B0AEC" w:rsidRDefault="001B0AEC">
      <w:pPr>
        <w:numPr>
          <w:ilvl w:val="0"/>
          <w:numId w:val="3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Elasticidade nos Canais de Atendimento: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Concomitantemente, o banco conecta esse núcleo à nuvem pública para hospedar seus aplicativos móveis, absorvendo picos violentos de acessos em dias de pagamento por meio de 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Auto Scaling</w:t>
      </w:r>
      <w:r>
        <w:rPr>
          <w:rFonts w:ascii="Segoe UI" w:eastAsia="Times New Roman" w:hAnsi="Segoe UI" w:cs="Segoe UI"/>
          <w:color w:val="1A1A1A"/>
          <w:sz w:val="22"/>
          <w:szCs w:val="22"/>
        </w:rPr>
        <w:t>, sem onerar os servidores internos.</w:t>
      </w:r>
    </w:p>
    <w:p w14:paraId="7D150ED5" w14:textId="77777777" w:rsidR="001B0AEC" w:rsidRDefault="001B0AEC">
      <w:pPr>
        <w:divId w:val="243875725"/>
        <w:rPr>
          <w:rFonts w:ascii="Segoe UI" w:eastAsia="Times New Roman" w:hAnsi="Segoe UI" w:cs="Segoe UI"/>
          <w:i/>
          <w:iCs/>
          <w:color w:val="64748B"/>
          <w:sz w:val="18"/>
          <w:szCs w:val="18"/>
        </w:rPr>
      </w:pPr>
      <w:r>
        <w:rPr>
          <w:rFonts w:ascii="Segoe UI" w:eastAsia="Times New Roman" w:hAnsi="Segoe UI" w:cs="Segoe UI"/>
          <w:i/>
          <w:iCs/>
          <w:color w:val="64748B"/>
          <w:sz w:val="18"/>
          <w:szCs w:val="18"/>
        </w:rPr>
        <w:t>Fonte: BANCO CENTRAL DO BRASIL. Resolução CMN nº 4.893/2020 (Segurança Cibernética e Nuvem).</w:t>
      </w:r>
    </w:p>
    <w:p w14:paraId="2BE70AA6" w14:textId="77777777" w:rsidR="001B0AEC" w:rsidRDefault="001B0AEC">
      <w:pPr>
        <w:pStyle w:val="Heading4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4. Nuvem Comunitária (Community Cloud): Reconhecimento no NIST e distinção da Nuvem Privada.</w:t>
      </w:r>
    </w:p>
    <w:p w14:paraId="59905327" w14:textId="77777777" w:rsidR="001B0AEC" w:rsidRDefault="001B0AEC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Strong"/>
          <w:rFonts w:ascii="Segoe UI" w:hAnsi="Segoe UI" w:cs="Segoe UI"/>
          <w:color w:val="1A1A1A"/>
          <w:sz w:val="22"/>
          <w:szCs w:val="22"/>
        </w:rPr>
        <w:t>Sim, a nuvem comunitária é formalmente reconhecida pelo NIST na publicação SP 800-145 (Seção 2.3).</w:t>
      </w:r>
      <w:r>
        <w:rPr>
          <w:rFonts w:ascii="Segoe UI" w:hAnsi="Segoe UI" w:cs="Segoe UI"/>
          <w:color w:val="1A1A1A"/>
          <w:sz w:val="22"/>
          <w:szCs w:val="22"/>
        </w:rPr>
        <w:t xml:space="preserve"> </w:t>
      </w:r>
    </w:p>
    <w:p w14:paraId="10D2D8A3" w14:textId="77777777" w:rsidR="001B0AEC" w:rsidRDefault="001B0AEC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Emphasis"/>
          <w:rFonts w:ascii="Segoe UI" w:hAnsi="Segoe UI" w:cs="Segoe UI"/>
          <w:color w:val="1A1A1A"/>
          <w:sz w:val="22"/>
          <w:szCs w:val="22"/>
        </w:rPr>
        <w:t>Definição pelo NIST:</w:t>
      </w:r>
      <w:r>
        <w:rPr>
          <w:rFonts w:ascii="Segoe UI" w:hAnsi="Segoe UI" w:cs="Segoe UI"/>
          <w:color w:val="1A1A1A"/>
          <w:sz w:val="22"/>
          <w:szCs w:val="22"/>
        </w:rPr>
        <w:t xml:space="preserve"> </w:t>
      </w:r>
      <w:r>
        <w:rPr>
          <w:rFonts w:ascii="Segoe UI" w:hAnsi="Segoe UI" w:cs="Segoe UI"/>
          <w:color w:val="1A1A1A"/>
          <w:sz w:val="22"/>
          <w:szCs w:val="22"/>
        </w:rPr>
        <w:t xml:space="preserve">É a infraestrutura provisionada para uso exclusivo de uma comunidade específica de organizações consumidoras que possuem objetivos, requisitos e preocupações compartilhadas — como missões institucionais afins, políticas de segurança conjuntas, exigências regulatórias ou judiciais comuns. </w:t>
      </w:r>
    </w:p>
    <w:p w14:paraId="03CD940D" w14:textId="77777777" w:rsidR="001B0AEC" w:rsidRDefault="001B0AEC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Emphasis"/>
          <w:rFonts w:ascii="Segoe UI" w:hAnsi="Segoe UI" w:cs="Segoe UI"/>
          <w:color w:val="1A1A1A"/>
          <w:sz w:val="22"/>
          <w:szCs w:val="22"/>
        </w:rPr>
        <w:t>Diferenciação:</w:t>
      </w:r>
      <w:r>
        <w:rPr>
          <w:rFonts w:ascii="Segoe UI" w:hAnsi="Segoe UI" w:cs="Segoe UI"/>
          <w:color w:val="1A1A1A"/>
          <w:sz w:val="22"/>
          <w:szCs w:val="22"/>
        </w:rPr>
        <w:t xml:space="preserve"> A </w:t>
      </w:r>
      <w:r>
        <w:rPr>
          <w:rStyle w:val="Strong"/>
          <w:rFonts w:ascii="Segoe UI" w:hAnsi="Segoe UI" w:cs="Segoe UI"/>
          <w:color w:val="1A1A1A"/>
          <w:sz w:val="22"/>
          <w:szCs w:val="22"/>
        </w:rPr>
        <w:t>Nuvem Privada</w:t>
      </w:r>
      <w:r>
        <w:rPr>
          <w:rFonts w:ascii="Segoe UI" w:hAnsi="Segoe UI" w:cs="Segoe UI"/>
          <w:color w:val="1A1A1A"/>
          <w:sz w:val="22"/>
          <w:szCs w:val="22"/>
        </w:rPr>
        <w:t xml:space="preserve"> é estritamente </w:t>
      </w:r>
      <w:r>
        <w:rPr>
          <w:rStyle w:val="Strong"/>
          <w:rFonts w:ascii="Segoe UI" w:hAnsi="Segoe UI" w:cs="Segoe UI"/>
          <w:color w:val="1A1A1A"/>
          <w:sz w:val="22"/>
          <w:szCs w:val="22"/>
        </w:rPr>
        <w:t>mono-organizacional (single-tenant)</w:t>
      </w:r>
      <w:r>
        <w:rPr>
          <w:rFonts w:ascii="Segoe UI" w:hAnsi="Segoe UI" w:cs="Segoe UI"/>
          <w:color w:val="1A1A1A"/>
          <w:sz w:val="22"/>
          <w:szCs w:val="22"/>
        </w:rPr>
        <w:t xml:space="preserve">, pertencendo e atendendo a uma única empresa, que assume 100% dos custos. Já a </w:t>
      </w:r>
      <w:r>
        <w:rPr>
          <w:rStyle w:val="Strong"/>
          <w:rFonts w:ascii="Segoe UI" w:hAnsi="Segoe UI" w:cs="Segoe UI"/>
          <w:color w:val="1A1A1A"/>
          <w:sz w:val="22"/>
          <w:szCs w:val="22"/>
        </w:rPr>
        <w:t>Nuvem Comunitária</w:t>
      </w:r>
      <w:r>
        <w:rPr>
          <w:rFonts w:ascii="Segoe UI" w:hAnsi="Segoe UI" w:cs="Segoe UI"/>
          <w:color w:val="1A1A1A"/>
          <w:sz w:val="22"/>
          <w:szCs w:val="22"/>
        </w:rPr>
        <w:t xml:space="preserve"> é </w:t>
      </w:r>
      <w:r>
        <w:rPr>
          <w:rStyle w:val="Strong"/>
          <w:rFonts w:ascii="Segoe UI" w:hAnsi="Segoe UI" w:cs="Segoe UI"/>
          <w:color w:val="1A1A1A"/>
          <w:sz w:val="22"/>
          <w:szCs w:val="22"/>
        </w:rPr>
        <w:t>multi-organizacional, porém fechada e restrita</w:t>
      </w:r>
      <w:r>
        <w:rPr>
          <w:rFonts w:ascii="Segoe UI" w:hAnsi="Segoe UI" w:cs="Segoe UI"/>
          <w:color w:val="1A1A1A"/>
          <w:sz w:val="22"/>
          <w:szCs w:val="22"/>
        </w:rPr>
        <w:t xml:space="preserve">. Múltiplas entidades parceiras rateiam os custos operacionais e de infraestrutura, usufruindo da economia de escala sem abrir mão do controle fechado de governança. Exemplo real: a rede comunitária acadêmica da </w:t>
      </w:r>
      <w:r>
        <w:rPr>
          <w:rStyle w:val="Strong"/>
          <w:rFonts w:ascii="Segoe UI" w:hAnsi="Segoe UI" w:cs="Segoe UI"/>
          <w:color w:val="1A1A1A"/>
          <w:sz w:val="22"/>
          <w:szCs w:val="22"/>
        </w:rPr>
        <w:t>RNP (Rede Nacional de Ensino e Pesquisa)</w:t>
      </w:r>
      <w:r>
        <w:rPr>
          <w:rFonts w:ascii="Segoe UI" w:hAnsi="Segoe UI" w:cs="Segoe UI"/>
          <w:color w:val="1A1A1A"/>
          <w:sz w:val="22"/>
          <w:szCs w:val="22"/>
        </w:rPr>
        <w:t xml:space="preserve"> no Brasil. </w:t>
      </w:r>
    </w:p>
    <w:p w14:paraId="00B557FF" w14:textId="77777777" w:rsidR="001B0AEC" w:rsidRDefault="001B0AEC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Bloco 2 — As Cinco Características Essenciais (NIST)</w:t>
      </w:r>
    </w:p>
    <w:p w14:paraId="47FD77A0" w14:textId="77777777" w:rsidR="001B0AEC" w:rsidRDefault="001B0AEC">
      <w:pPr>
        <w:pStyle w:val="Heading4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5. Tabela comparativa das cinco características essenciais do NIST SP 800-145: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3395"/>
        <w:gridCol w:w="2971"/>
      </w:tblGrid>
      <w:tr w:rsidR="00000000" w14:paraId="0FFA813B" w14:textId="77777777">
        <w:trPr>
          <w:tblHeader/>
        </w:trPr>
        <w:tc>
          <w:tcPr>
            <w:tcW w:w="1250" w:type="pc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1E3127C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Característica</w:t>
            </w:r>
          </w:p>
        </w:tc>
        <w:tc>
          <w:tcPr>
            <w:tcW w:w="2000" w:type="pc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F4910C9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Conceito com Palavras Próprias</w:t>
            </w:r>
          </w:p>
        </w:tc>
        <w:tc>
          <w:tcPr>
            <w:tcW w:w="1750" w:type="pc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115E4E3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Exemplo Real e Funcionalidade Prática</w:t>
            </w:r>
          </w:p>
        </w:tc>
      </w:tr>
      <w:tr w:rsidR="00000000" w14:paraId="54F637A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83C60B8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Autoatendimento sob demanda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br/>
            </w:r>
            <w:r>
              <w:rPr>
                <w:rStyle w:val="Emphasis"/>
                <w:rFonts w:ascii="Segoe UI" w:eastAsia="Times New Roman" w:hAnsi="Segoe UI" w:cs="Segoe UI"/>
                <w:color w:val="1A1A1A"/>
                <w:sz w:val="19"/>
                <w:szCs w:val="19"/>
              </w:rPr>
              <w:t>(On-demand self-service)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F5733BB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Possibilidade de o consumidor provisionar recursos (CPU, memória, armazenamento e rede) de forma direta, imediata e automatizada, sem requerer intervenção humana de atendentes do provedor.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F687250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AWS EC2 RunInstances: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O cliente aciona o console ou roda o comando CLI </w:t>
            </w:r>
            <w:r>
              <w:rPr>
                <w:rStyle w:val="HTMLCode"/>
                <w:color w:val="1A1A1A"/>
              </w:rPr>
              <w:t>aws ec2 run-instances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e provisiona uma VM em segundos sem interagir com funcionários da AWS.</w:t>
            </w:r>
          </w:p>
        </w:tc>
      </w:tr>
      <w:tr w:rsidR="00000000" w14:paraId="1A94C1E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4C31F80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Amplo acesso à rede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br/>
            </w:r>
            <w:r>
              <w:rPr>
                <w:rStyle w:val="Emphasis"/>
                <w:rFonts w:ascii="Segoe UI" w:eastAsia="Times New Roman" w:hAnsi="Segoe UI" w:cs="Segoe UI"/>
                <w:color w:val="1A1A1A"/>
                <w:sz w:val="19"/>
                <w:szCs w:val="19"/>
              </w:rPr>
              <w:t>(Broad network access)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C9C2CB1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As funcionalidades da nuvem estão acessíveis permanentemente via rede (Internet ou VPN) por protocolos padronizados a partir de qualquer dispositivo heterogêneo (mobile, tablet, desktop).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E6B6F2D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Google Workspace / Microsoft 365: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Arquivos e ferramentas de produtividade são editados simultaneamente em navegadores web, computadores Windows/Mac e smartphones Android/iOS.</w:t>
            </w:r>
          </w:p>
        </w:tc>
      </w:tr>
      <w:tr w:rsidR="00000000" w14:paraId="7859149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7DF895E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Pool de recursos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br/>
            </w:r>
            <w:r>
              <w:rPr>
                <w:rStyle w:val="Emphasis"/>
                <w:rFonts w:ascii="Segoe UI" w:eastAsia="Times New Roman" w:hAnsi="Segoe UI" w:cs="Segoe UI"/>
                <w:color w:val="1A1A1A"/>
                <w:sz w:val="19"/>
                <w:szCs w:val="19"/>
              </w:rPr>
              <w:t>(Resource pooling)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5A5BBCF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Os recursos físicos do provedor são agrupados em pools para atender múltiplos clientes no modelo multi-tenant. O isolamento estrito é garantido por hipervisores e criptografia física.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222B3D1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AWS Nitro System: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Placas controladoras dedicadas de hardware e micro-hipervisor que isolam criptograficamente CPU, RAM e volumes EBS de clientes distintos no mesmo rack físico.</w:t>
            </w:r>
          </w:p>
        </w:tc>
      </w:tr>
      <w:tr w:rsidR="00000000" w14:paraId="5E26FCE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C76EEFF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Elasticidade rápida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br/>
            </w:r>
            <w:r>
              <w:rPr>
                <w:rStyle w:val="Emphasis"/>
                <w:rFonts w:ascii="Segoe UI" w:eastAsia="Times New Roman" w:hAnsi="Segoe UI" w:cs="Segoe UI"/>
                <w:color w:val="1A1A1A"/>
                <w:sz w:val="19"/>
                <w:szCs w:val="19"/>
              </w:rPr>
              <w:t>(Rapid elasticity)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9BB6AE7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Capacidade de expandir ou encolher recursos computacionais de forma automatizada e elástica com base na demanda, passando a percepção de recursos ilimitados ao cliente.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600F796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Azure Virtual Machine Scale Sets (VMSS):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Monitora métricas de CPU; ao passar de 70%, instancia novos servidores automaticamente; ao diminuir o tráfego, remove as VMs excedentes.</w:t>
            </w:r>
          </w:p>
        </w:tc>
      </w:tr>
      <w:tr w:rsidR="00000000" w14:paraId="63F4115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8C0E15E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Serviço mensurável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br/>
            </w:r>
            <w:r>
              <w:rPr>
                <w:rStyle w:val="Emphasis"/>
                <w:rFonts w:ascii="Segoe UI" w:eastAsia="Times New Roman" w:hAnsi="Segoe UI" w:cs="Segoe UI"/>
                <w:color w:val="1A1A1A"/>
                <w:sz w:val="19"/>
                <w:szCs w:val="19"/>
              </w:rPr>
              <w:t>(Measured service)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A929682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Sistemas de controle que monitoram, medem e cobram o uso dos recursos de forma transparente com métricas bem definidas, viabilizando o modelo pay-as-you-go.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4A4DE62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Amazon S3 Storage Metrics: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A cobrança é mensurada por métricas granulares: GB armazenados por mês (ex.: US$ 0,023/GB), quantidade de requisições GET/PUT e tráfego de saída.</w:t>
            </w:r>
          </w:p>
        </w:tc>
      </w:tr>
    </w:tbl>
    <w:p w14:paraId="254947B7" w14:textId="77777777" w:rsidR="001B0AEC" w:rsidRDefault="001B0AEC">
      <w:pPr>
        <w:pStyle w:val="Heading4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6. Passo a passo: Configuração de Auto Scaling de um recurso real</w:t>
      </w:r>
    </w:p>
    <w:p w14:paraId="0750F18E" w14:textId="77777777" w:rsidR="001B0AEC" w:rsidRDefault="001B0AEC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Strong"/>
          <w:rFonts w:ascii="Segoe UI" w:hAnsi="Segoe UI" w:cs="Segoe UI"/>
          <w:color w:val="1A1A1A"/>
          <w:sz w:val="22"/>
          <w:szCs w:val="22"/>
        </w:rPr>
        <w:t>Provedor Escolhido:</w:t>
      </w:r>
      <w:r>
        <w:rPr>
          <w:rFonts w:ascii="Segoe UI" w:hAnsi="Segoe UI" w:cs="Segoe UI"/>
          <w:color w:val="1A1A1A"/>
          <w:sz w:val="22"/>
          <w:szCs w:val="22"/>
        </w:rPr>
        <w:t xml:space="preserve"> Amazon Web Services (AWS) | </w:t>
      </w:r>
      <w:r>
        <w:rPr>
          <w:rStyle w:val="Strong"/>
          <w:rFonts w:ascii="Segoe UI" w:hAnsi="Segoe UI" w:cs="Segoe UI"/>
          <w:color w:val="1A1A1A"/>
          <w:sz w:val="22"/>
          <w:szCs w:val="22"/>
        </w:rPr>
        <w:t>Recurso:</w:t>
      </w:r>
      <w:r>
        <w:rPr>
          <w:rFonts w:ascii="Segoe UI" w:hAnsi="Segoe UI" w:cs="Segoe UI"/>
          <w:color w:val="1A1A1A"/>
          <w:sz w:val="22"/>
          <w:szCs w:val="22"/>
        </w:rPr>
        <w:t xml:space="preserve"> EC2 Auto Scaling com Load Balancer</w:t>
      </w:r>
    </w:p>
    <w:p w14:paraId="474F7F4C" w14:textId="77777777" w:rsidR="001B0AEC" w:rsidRDefault="001B0AEC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Strong"/>
          <w:rFonts w:ascii="Segoe UI" w:hAnsi="Segoe UI" w:cs="Segoe UI"/>
          <w:color w:val="1A1A1A"/>
          <w:sz w:val="22"/>
          <w:szCs w:val="22"/>
        </w:rPr>
        <w:t>Documentação Oficial:</w:t>
      </w:r>
      <w:r>
        <w:rPr>
          <w:rFonts w:ascii="Segoe UI" w:hAnsi="Segoe UI" w:cs="Segoe UI"/>
          <w:color w:val="1A1A1A"/>
          <w:sz w:val="22"/>
          <w:szCs w:val="22"/>
        </w:rPr>
        <w:t xml:space="preserve"> </w:t>
      </w:r>
      <w:hyperlink r:id="rId5" w:history="1">
        <w:r>
          <w:rPr>
            <w:rStyle w:val="Hyperlink"/>
            <w:rFonts w:ascii="Segoe UI" w:hAnsi="Segoe UI" w:cs="Segoe UI"/>
            <w:sz w:val="22"/>
            <w:szCs w:val="22"/>
          </w:rPr>
          <w:t>https://docs.aws.amazon.com/autoscaling/ec2/userguide/create-asg-launch-template.html</w:t>
        </w:r>
      </w:hyperlink>
    </w:p>
    <w:p w14:paraId="4FD34E9D" w14:textId="77777777" w:rsidR="001B0AEC" w:rsidRDefault="001B0AEC">
      <w:pPr>
        <w:numPr>
          <w:ilvl w:val="0"/>
          <w:numId w:val="4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Criação do Modelo de Execução (Launch Template):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Em 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EC2 &gt; Launch Templates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, define-se o nome do template, a imagem do SO (Amazon Linux 2023), o tipo de instância (ex.: </w:t>
      </w:r>
      <w:r>
        <w:rPr>
          <w:rStyle w:val="HTMLCode"/>
          <w:color w:val="1A1A1A"/>
        </w:rPr>
        <w:t>t3.micro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), par de chaves e regras de Security Group liberando tráfego HTTP/HTTPS. Em 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User Data</w:t>
      </w:r>
      <w:r>
        <w:rPr>
          <w:rFonts w:ascii="Segoe UI" w:eastAsia="Times New Roman" w:hAnsi="Segoe UI" w:cs="Segoe UI"/>
          <w:color w:val="1A1A1A"/>
          <w:sz w:val="22"/>
          <w:szCs w:val="22"/>
        </w:rPr>
        <w:t>, adiciona-se o script de automação para instalação do servidor web e aplicação.</w:t>
      </w:r>
    </w:p>
    <w:p w14:paraId="787BCC3A" w14:textId="77777777" w:rsidR="001B0AEC" w:rsidRDefault="001B0AEC">
      <w:pPr>
        <w:numPr>
          <w:ilvl w:val="0"/>
          <w:numId w:val="4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Criação do Auto Scaling Group (ASG):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Em 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EC2 &gt; Auto Scaling Groups</w:t>
      </w:r>
      <w:r>
        <w:rPr>
          <w:rFonts w:ascii="Segoe UI" w:eastAsia="Times New Roman" w:hAnsi="Segoe UI" w:cs="Segoe UI"/>
          <w:color w:val="1A1A1A"/>
          <w:sz w:val="22"/>
          <w:szCs w:val="22"/>
        </w:rPr>
        <w:t>, vincula-se o Launch Template criado, selecionando a VPC e subnets em ao menos 2 Zonas de Disponibilidade (Multi-AZ) para resiliência geográfica.</w:t>
      </w:r>
    </w:p>
    <w:p w14:paraId="4056BC30" w14:textId="77777777" w:rsidR="001B0AEC" w:rsidRDefault="001B0AEC">
      <w:pPr>
        <w:numPr>
          <w:ilvl w:val="0"/>
          <w:numId w:val="4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Associação ao Balanceador de Carga: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Associa-se o ASG a um Application Load Balancer (ALB) existente, ativando as checagens de integridade 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ELB Health Checks</w:t>
      </w:r>
      <w:r>
        <w:rPr>
          <w:rFonts w:ascii="Segoe UI" w:eastAsia="Times New Roman" w:hAnsi="Segoe UI" w:cs="Segoe UI"/>
          <w:color w:val="1A1A1A"/>
          <w:sz w:val="22"/>
          <w:szCs w:val="22"/>
        </w:rPr>
        <w:t>.</w:t>
      </w:r>
    </w:p>
    <w:p w14:paraId="5A7E65A9" w14:textId="77777777" w:rsidR="001B0AEC" w:rsidRDefault="001B0AEC">
      <w:pPr>
        <w:numPr>
          <w:ilvl w:val="0"/>
          <w:numId w:val="4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Definição dos Parâmetros de Capacidade: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Fonts w:ascii="Segoe UI" w:eastAsia="Times New Roman" w:hAnsi="Segoe UI" w:cs="Segoe UI"/>
          <w:color w:val="1A1A1A"/>
          <w:sz w:val="22"/>
          <w:szCs w:val="22"/>
        </w:rPr>
        <w:t>Configura-se Capacidade Desejada = 2 instâncias; Capacidade Mínima = 2 instâncias; Capacidade Máxima = 10 instâncias.</w:t>
      </w:r>
    </w:p>
    <w:p w14:paraId="3E0EF7A2" w14:textId="77777777" w:rsidR="001B0AEC" w:rsidRDefault="001B0AEC">
      <w:pPr>
        <w:numPr>
          <w:ilvl w:val="0"/>
          <w:numId w:val="4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Configuração da Política de Escala: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Escolhe-se a política 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Target Tracking Scaling Policy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com base na métrica de uso médio de CPU (Average CPU Utilization) com alvo em 70%. Quando a demanda ultrapassa esse valor, novas instâncias são criadas automaticamente; ao normalizar a carga, instâncias são finalizadas de modo ordenado.</w:t>
      </w:r>
    </w:p>
    <w:p w14:paraId="5F3EE9A0" w14:textId="77777777" w:rsidR="001B0AEC" w:rsidRDefault="001B0AEC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Bloco 3 — Desafios da Computação em Nuvem</w:t>
      </w:r>
    </w:p>
    <w:p w14:paraId="0B958EEC" w14:textId="77777777" w:rsidR="001B0AEC" w:rsidRDefault="001B0AEC">
      <w:pPr>
        <w:pStyle w:val="Heading4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7. Segurança: Três principais ameaças e controles de mitigação</w:t>
      </w:r>
    </w:p>
    <w:p w14:paraId="0398A784" w14:textId="77777777" w:rsidR="001B0AEC" w:rsidRDefault="001B0AEC">
      <w:pPr>
        <w:numPr>
          <w:ilvl w:val="0"/>
          <w:numId w:val="5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Configuração Incorreta de Recursos (Cloud Misconfigurations):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Buckets de armazenamento de arquivos (S3/Blob) e bancos de dados deixados abertos publicamente na internet por engano.</w:t>
      </w:r>
      <w:r>
        <w:rPr>
          <w:rFonts w:ascii="Segoe UI" w:eastAsia="Times New Roman" w:hAnsi="Segoe UI" w:cs="Segoe UI"/>
          <w:color w:val="1A1A1A"/>
          <w:sz w:val="22"/>
          <w:szCs w:val="22"/>
        </w:rPr>
        <w:br/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Mitigação: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Princípio do menor privilégio no IAM, bloqueio mandatório de acesso público (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S3 Block Public Access</w:t>
      </w:r>
      <w:r>
        <w:rPr>
          <w:rFonts w:ascii="Segoe UI" w:eastAsia="Times New Roman" w:hAnsi="Segoe UI" w:cs="Segoe UI"/>
          <w:color w:val="1A1A1A"/>
          <w:sz w:val="22"/>
          <w:szCs w:val="22"/>
        </w:rPr>
        <w:t>) e adoção de ferramentas de CSPM (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Cloud Security Posture Management</w:t>
      </w:r>
      <w:r>
        <w:rPr>
          <w:rFonts w:ascii="Segoe UI" w:eastAsia="Times New Roman" w:hAnsi="Segoe UI" w:cs="Segoe UI"/>
          <w:color w:val="1A1A1A"/>
          <w:sz w:val="22"/>
          <w:szCs w:val="22"/>
        </w:rPr>
        <w:t>), como AWS Security Hub.</w:t>
      </w:r>
    </w:p>
    <w:p w14:paraId="125F13C6" w14:textId="77777777" w:rsidR="001B0AEC" w:rsidRDefault="001B0AEC">
      <w:pPr>
        <w:numPr>
          <w:ilvl w:val="0"/>
          <w:numId w:val="5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Comprometimento de Identidades e Credenciais: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Fonts w:ascii="Segoe UI" w:eastAsia="Times New Roman" w:hAnsi="Segoe UI" w:cs="Segoe UI"/>
          <w:color w:val="1A1A1A"/>
          <w:sz w:val="22"/>
          <w:szCs w:val="22"/>
        </w:rPr>
        <w:t>Sequestro de credenciais de login ou chaves de API esquecidas em repositórios públicos de código.</w:t>
      </w:r>
      <w:r>
        <w:rPr>
          <w:rFonts w:ascii="Segoe UI" w:eastAsia="Times New Roman" w:hAnsi="Segoe UI" w:cs="Segoe UI"/>
          <w:color w:val="1A1A1A"/>
          <w:sz w:val="22"/>
          <w:szCs w:val="22"/>
        </w:rPr>
        <w:br/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Mitigação: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Obrigatoriedade de 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Autenticação Multifator (MFA)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em todos os consoles, substituição de chaves estáticas por credenciais temporárias (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IAM Roles / STS</w:t>
      </w:r>
      <w:r>
        <w:rPr>
          <w:rFonts w:ascii="Segoe UI" w:eastAsia="Times New Roman" w:hAnsi="Segoe UI" w:cs="Segoe UI"/>
          <w:color w:val="1A1A1A"/>
          <w:sz w:val="22"/>
          <w:szCs w:val="22"/>
        </w:rPr>
        <w:t>) e uso de cofres seguros com rotação automática (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AWS Secrets Manager</w:t>
      </w:r>
      <w:r>
        <w:rPr>
          <w:rFonts w:ascii="Segoe UI" w:eastAsia="Times New Roman" w:hAnsi="Segoe UI" w:cs="Segoe UI"/>
          <w:color w:val="1A1A1A"/>
          <w:sz w:val="22"/>
          <w:szCs w:val="22"/>
        </w:rPr>
        <w:t>).</w:t>
      </w:r>
    </w:p>
    <w:p w14:paraId="64865BD5" w14:textId="77777777" w:rsidR="001B0AEC" w:rsidRDefault="001B0AEC">
      <w:pPr>
        <w:numPr>
          <w:ilvl w:val="0"/>
          <w:numId w:val="5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Interfaces e APIs Inseguras: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Falhas de autorização e ausência de proteção contra requisições massivas em APIs de gerenciamento e microsserviços.</w:t>
      </w:r>
      <w:r>
        <w:rPr>
          <w:rFonts w:ascii="Segoe UI" w:eastAsia="Times New Roman" w:hAnsi="Segoe UI" w:cs="Segoe UI"/>
          <w:color w:val="1A1A1A"/>
          <w:sz w:val="22"/>
          <w:szCs w:val="22"/>
        </w:rPr>
        <w:br/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Mitigação: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Centralização via 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API Gateway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com autenticação OAuth 2.0 / JWT, implementação de 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Web Application Firewall (WAF)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na borda e comunicação interna com criptografia mútua (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mTLS</w:t>
      </w:r>
      <w:r>
        <w:rPr>
          <w:rFonts w:ascii="Segoe UI" w:eastAsia="Times New Roman" w:hAnsi="Segoe UI" w:cs="Segoe UI"/>
          <w:color w:val="1A1A1A"/>
          <w:sz w:val="22"/>
          <w:szCs w:val="22"/>
        </w:rPr>
        <w:t>).</w:t>
      </w:r>
    </w:p>
    <w:p w14:paraId="117DF078" w14:textId="77777777" w:rsidR="001B0AEC" w:rsidRDefault="001B0AEC">
      <w:pPr>
        <w:divId w:val="2120686478"/>
        <w:rPr>
          <w:rFonts w:ascii="Segoe UI" w:eastAsia="Times New Roman" w:hAnsi="Segoe UI" w:cs="Segoe UI"/>
          <w:i/>
          <w:iCs/>
          <w:color w:val="64748B"/>
          <w:sz w:val="18"/>
          <w:szCs w:val="18"/>
        </w:rPr>
      </w:pPr>
      <w:r>
        <w:rPr>
          <w:rFonts w:ascii="Segoe UI" w:eastAsia="Times New Roman" w:hAnsi="Segoe UI" w:cs="Segoe UI"/>
          <w:i/>
          <w:iCs/>
          <w:color w:val="64748B"/>
          <w:sz w:val="18"/>
          <w:szCs w:val="18"/>
        </w:rPr>
        <w:t>Fonte: Cloud Security Alliance (CSA). Top Threats to Cloud Computing.</w:t>
      </w:r>
    </w:p>
    <w:p w14:paraId="277EE943" w14:textId="77777777" w:rsidR="001B0AEC" w:rsidRDefault="001B0AEC">
      <w:pPr>
        <w:pStyle w:val="Heading4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8. Privacidade: Duas obrigações da LGPD (Lei nº 13.709/2018) com artigos correspondentes</w:t>
      </w:r>
    </w:p>
    <w:p w14:paraId="4AC7759F" w14:textId="77777777" w:rsidR="001B0AEC" w:rsidRDefault="001B0AEC">
      <w:pPr>
        <w:numPr>
          <w:ilvl w:val="0"/>
          <w:numId w:val="6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Adoção Obrigatória de Medidas de Segurança Técnicas e Administrativas (Art. 46):</w:t>
      </w:r>
      <w:r>
        <w:rPr>
          <w:rFonts w:ascii="Segoe UI" w:eastAsia="Times New Roman" w:hAnsi="Segoe UI" w:cs="Segoe UI"/>
          <w:color w:val="1A1A1A"/>
          <w:sz w:val="22"/>
          <w:szCs w:val="22"/>
        </w:rPr>
        <w:br/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Texto da Lei (Art. 46, caput):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Fonts w:ascii="Segoe UI" w:eastAsia="Times New Roman" w:hAnsi="Segoe UI" w:cs="Segoe UI"/>
          <w:color w:val="1A1A1A"/>
          <w:sz w:val="22"/>
          <w:szCs w:val="22"/>
        </w:rPr>
        <w:t>"Os agentes de tratamento devem adotar medidas de segurança, técnicas e administrativas aptas a proteger os dados pessoais de acessos não autorizados e de situações acidentais ou ilícitas de destruição, perda, alteração, comunicação ou qualquer forma de tratamento inadequado ou ilícito."</w:t>
      </w:r>
      <w:r>
        <w:rPr>
          <w:rFonts w:ascii="Segoe UI" w:eastAsia="Times New Roman" w:hAnsi="Segoe UI" w:cs="Segoe UI"/>
          <w:color w:val="1A1A1A"/>
          <w:sz w:val="22"/>
          <w:szCs w:val="22"/>
        </w:rPr>
        <w:br/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Aplicação na Nuvem: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O controlador deve aplicar criptografia em trânsito (TLS 1.3) e em repouso (AES-256), segregação lógica de ambientes, controle de acesso baseado em papéis (RBAC) e registro imutável de logs de auditoria.</w:t>
      </w:r>
    </w:p>
    <w:p w14:paraId="60F83D23" w14:textId="77777777" w:rsidR="001B0AEC" w:rsidRDefault="001B0AEC">
      <w:pPr>
        <w:numPr>
          <w:ilvl w:val="0"/>
          <w:numId w:val="6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Notificação Obrigatória de Incidentes de Segurança à ANPD e aos Titulares (Art. 48):</w:t>
      </w:r>
      <w:r>
        <w:rPr>
          <w:rFonts w:ascii="Segoe UI" w:eastAsia="Times New Roman" w:hAnsi="Segoe UI" w:cs="Segoe UI"/>
          <w:color w:val="1A1A1A"/>
          <w:sz w:val="22"/>
          <w:szCs w:val="22"/>
        </w:rPr>
        <w:br/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Texto da Lei (Art. 48, caput):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"O controlador deverá comunicar à autoridade nacional e ao titular a ocorrência de incidente de segurança que possa acarretar risco ou dano relevante aos titulares."</w:t>
      </w:r>
      <w:r>
        <w:rPr>
          <w:rFonts w:ascii="Segoe UI" w:eastAsia="Times New Roman" w:hAnsi="Segoe UI" w:cs="Segoe UI"/>
          <w:color w:val="1A1A1A"/>
          <w:sz w:val="22"/>
          <w:szCs w:val="22"/>
        </w:rPr>
        <w:br/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Aplicação na Nuvem: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Fonts w:ascii="Segoe UI" w:eastAsia="Times New Roman" w:hAnsi="Segoe UI" w:cs="Segoe UI"/>
          <w:color w:val="1A1A1A"/>
          <w:sz w:val="22"/>
          <w:szCs w:val="22"/>
        </w:rPr>
        <w:t>Em caso de vazamento ou invasão em ambientes em nuvem que afete dados pessoais de brasileiros, a empresa é obrigada a notificar formalmente a ANPD e os titulares atingidos em prazo célere, detalhando os riscos e as medidas tomadas para contenção.</w:t>
      </w:r>
    </w:p>
    <w:p w14:paraId="2E4E4288" w14:textId="77777777" w:rsidR="001B0AEC" w:rsidRDefault="001B0AEC">
      <w:pPr>
        <w:divId w:val="226303722"/>
        <w:rPr>
          <w:rFonts w:ascii="Segoe UI" w:eastAsia="Times New Roman" w:hAnsi="Segoe UI" w:cs="Segoe UI"/>
          <w:i/>
          <w:iCs/>
          <w:color w:val="64748B"/>
          <w:sz w:val="18"/>
          <w:szCs w:val="18"/>
        </w:rPr>
      </w:pPr>
      <w:r>
        <w:rPr>
          <w:rFonts w:ascii="Segoe UI" w:eastAsia="Times New Roman" w:hAnsi="Segoe UI" w:cs="Segoe UI"/>
          <w:i/>
          <w:iCs/>
          <w:color w:val="64748B"/>
          <w:sz w:val="18"/>
          <w:szCs w:val="18"/>
        </w:rPr>
        <w:t>Fonte: BRASIL. Lei nº 13.709/2018 (LGPD), Artigos 46 e 48. Planalto.</w:t>
      </w:r>
    </w:p>
    <w:p w14:paraId="0B5B1495" w14:textId="77777777" w:rsidR="001B0AEC" w:rsidRDefault="001B0AEC">
      <w:pPr>
        <w:pStyle w:val="Heading4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9. Sistemas Legados: Modelo dos "6 Rs" da migração para nuvem</w:t>
      </w:r>
    </w:p>
    <w:p w14:paraId="40313BF2" w14:textId="77777777" w:rsidR="001B0AEC" w:rsidRDefault="001B0AEC">
      <w:pPr>
        <w:numPr>
          <w:ilvl w:val="0"/>
          <w:numId w:val="7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Rehost ("Lift and Shift"):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Fonts w:ascii="Segoe UI" w:eastAsia="Times New Roman" w:hAnsi="Segoe UI" w:cs="Segoe UI"/>
          <w:color w:val="1A1A1A"/>
          <w:sz w:val="22"/>
          <w:szCs w:val="22"/>
        </w:rPr>
        <w:t>Mover sistemas e bancos de dados exatamente como estão para máquinas virtuais na nuvem (IaaS) sem alterar arquitetura ou código.</w:t>
      </w:r>
      <w:r>
        <w:rPr>
          <w:rFonts w:ascii="Segoe UI" w:eastAsia="Times New Roman" w:hAnsi="Segoe UI" w:cs="Segoe UI"/>
          <w:color w:val="1A1A1A"/>
          <w:sz w:val="22"/>
          <w:szCs w:val="22"/>
        </w:rPr>
        <w:br/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Cenário indicado: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Migrações rápidas motivadas por término de contrato de locação de data center físico ou obsolescência emergencial de servidores locais.</w:t>
      </w:r>
    </w:p>
    <w:p w14:paraId="3BD58603" w14:textId="77777777" w:rsidR="001B0AEC" w:rsidRDefault="001B0AEC">
      <w:pPr>
        <w:numPr>
          <w:ilvl w:val="0"/>
          <w:numId w:val="7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Replatform ("Lift, Tinker and Shift"):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Fonts w:ascii="Segoe UI" w:eastAsia="Times New Roman" w:hAnsi="Segoe UI" w:cs="Segoe UI"/>
          <w:color w:val="1A1A1A"/>
          <w:sz w:val="22"/>
          <w:szCs w:val="22"/>
        </w:rPr>
        <w:t>Mover a aplicação mantendo o núcleo da arquitetura, mas substituindo partes de infraestrutura por serviços gerenciados (PaaS), como migrar de um banco autogerenciado para Amazon RDS / Azure SQL.</w:t>
      </w:r>
      <w:r>
        <w:rPr>
          <w:rFonts w:ascii="Segoe UI" w:eastAsia="Times New Roman" w:hAnsi="Segoe UI" w:cs="Segoe UI"/>
          <w:color w:val="1A1A1A"/>
          <w:sz w:val="22"/>
          <w:szCs w:val="22"/>
        </w:rPr>
        <w:br/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Cenário indicado: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Empresas que desejam desonerar a equipe de rotinas de manutenção e backups sem dispor de orçamento ou tempo para reprogramar o software.</w:t>
      </w:r>
    </w:p>
    <w:p w14:paraId="0982E56E" w14:textId="77777777" w:rsidR="001B0AEC" w:rsidRDefault="001B0AEC">
      <w:pPr>
        <w:numPr>
          <w:ilvl w:val="0"/>
          <w:numId w:val="7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Refactor / Re-architect: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Fonts w:ascii="Segoe UI" w:eastAsia="Times New Roman" w:hAnsi="Segoe UI" w:cs="Segoe UI"/>
          <w:color w:val="1A1A1A"/>
          <w:sz w:val="22"/>
          <w:szCs w:val="22"/>
        </w:rPr>
        <w:t>Redesenhar e refatorar totalmente o código-fonte adotando arquiteturas modernas nativas de nuvem (cloud-native), microsserviços desacoplados e serverless.</w:t>
      </w:r>
      <w:r>
        <w:rPr>
          <w:rFonts w:ascii="Segoe UI" w:eastAsia="Times New Roman" w:hAnsi="Segoe UI" w:cs="Segoe UI"/>
          <w:color w:val="1A1A1A"/>
          <w:sz w:val="22"/>
          <w:szCs w:val="22"/>
        </w:rPr>
        <w:br/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Cenário indicado: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Sistemas centrais altamente estratégicos para o negócio que atingiram o limite de escalabilidade e necessitam de lançamentos contínuos e alta resiliência.</w:t>
      </w:r>
    </w:p>
    <w:p w14:paraId="7DA8533F" w14:textId="77777777" w:rsidR="001B0AEC" w:rsidRDefault="001B0AEC">
      <w:pPr>
        <w:divId w:val="1351293177"/>
        <w:rPr>
          <w:rFonts w:ascii="Segoe UI" w:eastAsia="Times New Roman" w:hAnsi="Segoe UI" w:cs="Segoe UI"/>
          <w:i/>
          <w:iCs/>
          <w:color w:val="64748B"/>
          <w:sz w:val="18"/>
          <w:szCs w:val="18"/>
        </w:rPr>
      </w:pPr>
      <w:r>
        <w:rPr>
          <w:rFonts w:ascii="Segoe UI" w:eastAsia="Times New Roman" w:hAnsi="Segoe UI" w:cs="Segoe UI"/>
          <w:i/>
          <w:iCs/>
          <w:color w:val="64748B"/>
          <w:sz w:val="18"/>
          <w:szCs w:val="18"/>
        </w:rPr>
        <w:t>Fonte: AWS Prescriptive Guidance (Migration Strategy: 6 Rs).</w:t>
      </w:r>
    </w:p>
    <w:p w14:paraId="3D8E911F" w14:textId="77777777" w:rsidR="001B0AEC" w:rsidRDefault="001B0AEC">
      <w:pPr>
        <w:pStyle w:val="Heading4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10. Cultura Organizacional: Caso real de resistência à nuvem</w:t>
      </w:r>
    </w:p>
    <w:p w14:paraId="21622835" w14:textId="77777777" w:rsidR="001B0AEC" w:rsidRDefault="001B0AEC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Strong"/>
          <w:rFonts w:ascii="Segoe UI" w:hAnsi="Segoe UI" w:cs="Segoe UI"/>
          <w:color w:val="1A1A1A"/>
          <w:sz w:val="22"/>
          <w:szCs w:val="22"/>
        </w:rPr>
        <w:t>Caso Analisado:</w:t>
      </w:r>
      <w:r>
        <w:rPr>
          <w:rFonts w:ascii="Segoe UI" w:hAnsi="Segoe UI" w:cs="Segoe UI"/>
          <w:color w:val="1A1A1A"/>
          <w:sz w:val="22"/>
          <w:szCs w:val="22"/>
        </w:rPr>
        <w:t xml:space="preserve"> </w:t>
      </w:r>
      <w:r>
        <w:rPr>
          <w:rFonts w:ascii="Segoe UI" w:hAnsi="Segoe UI" w:cs="Segoe UI"/>
          <w:color w:val="1A1A1A"/>
          <w:sz w:val="22"/>
          <w:szCs w:val="22"/>
        </w:rPr>
        <w:t xml:space="preserve">A jornada de transformação para a nuvem da instituição financeira </w:t>
      </w:r>
      <w:r>
        <w:rPr>
          <w:rStyle w:val="Strong"/>
          <w:rFonts w:ascii="Segoe UI" w:hAnsi="Segoe UI" w:cs="Segoe UI"/>
          <w:color w:val="1A1A1A"/>
          <w:sz w:val="22"/>
          <w:szCs w:val="22"/>
        </w:rPr>
        <w:t>Capital One</w:t>
      </w:r>
      <w:r>
        <w:rPr>
          <w:rFonts w:ascii="Segoe UI" w:hAnsi="Segoe UI" w:cs="Segoe UI"/>
          <w:color w:val="1A1A1A"/>
          <w:sz w:val="22"/>
          <w:szCs w:val="22"/>
        </w:rPr>
        <w:t xml:space="preserve">. </w:t>
      </w:r>
    </w:p>
    <w:p w14:paraId="4DAD39D7" w14:textId="77777777" w:rsidR="001B0AEC" w:rsidRDefault="001B0AEC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Emphasis"/>
          <w:rFonts w:ascii="Segoe UI" w:hAnsi="Segoe UI" w:cs="Segoe UI"/>
          <w:color w:val="1A1A1A"/>
          <w:sz w:val="22"/>
          <w:szCs w:val="22"/>
        </w:rPr>
        <w:t>O que gerou a resistência:</w:t>
      </w:r>
      <w:r>
        <w:rPr>
          <w:rFonts w:ascii="Segoe UI" w:hAnsi="Segoe UI" w:cs="Segoe UI"/>
          <w:color w:val="1A1A1A"/>
          <w:sz w:val="22"/>
          <w:szCs w:val="22"/>
        </w:rPr>
        <w:t xml:space="preserve"> </w:t>
      </w:r>
      <w:r>
        <w:rPr>
          <w:rFonts w:ascii="Segoe UI" w:hAnsi="Segoe UI" w:cs="Segoe UI"/>
          <w:color w:val="1A1A1A"/>
          <w:sz w:val="22"/>
          <w:szCs w:val="22"/>
        </w:rPr>
        <w:t xml:space="preserve">Ao definir a meta de encerrar todos os seus data centers próprios e operar 100% na AWS, a empresa enfrentou forte resistência interna: administradores de sistemas sustentavam a crença dogmática de que "dados bancários só estão seguros se pudermos vê-los e tocá-los fisicamente"; profissionais de infraestrutura temiam a extinção de seus cargos e obsolescência profissional; e setores de segurança impunham processos de aprovação burocráticos que atrasavam projetos em meses. </w:t>
      </w:r>
    </w:p>
    <w:p w14:paraId="0990DCFA" w14:textId="77777777" w:rsidR="001B0AEC" w:rsidRDefault="001B0AEC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Emphasis"/>
          <w:rFonts w:ascii="Segoe UI" w:hAnsi="Segoe UI" w:cs="Segoe UI"/>
          <w:color w:val="1A1A1A"/>
          <w:sz w:val="22"/>
          <w:szCs w:val="22"/>
        </w:rPr>
        <w:t>Como foi superada:</w:t>
      </w:r>
      <w:r>
        <w:rPr>
          <w:rFonts w:ascii="Segoe UI" w:hAnsi="Segoe UI" w:cs="Segoe UI"/>
          <w:color w:val="1A1A1A"/>
          <w:sz w:val="22"/>
          <w:szCs w:val="22"/>
        </w:rPr>
        <w:t xml:space="preserve"> </w:t>
      </w:r>
      <w:r>
        <w:rPr>
          <w:rFonts w:ascii="Segoe UI" w:hAnsi="Segoe UI" w:cs="Segoe UI"/>
          <w:color w:val="1A1A1A"/>
          <w:sz w:val="22"/>
          <w:szCs w:val="22"/>
        </w:rPr>
        <w:t xml:space="preserve">A liderança instituiu um </w:t>
      </w:r>
      <w:r>
        <w:rPr>
          <w:rStyle w:val="Strong"/>
          <w:rFonts w:ascii="Segoe UI" w:hAnsi="Segoe UI" w:cs="Segoe UI"/>
          <w:color w:val="1A1A1A"/>
          <w:sz w:val="22"/>
          <w:szCs w:val="22"/>
        </w:rPr>
        <w:t>Cloud Center of Excellence (CCoE)</w:t>
      </w:r>
      <w:r>
        <w:rPr>
          <w:rFonts w:ascii="Segoe UI" w:hAnsi="Segoe UI" w:cs="Segoe UI"/>
          <w:color w:val="1A1A1A"/>
          <w:sz w:val="22"/>
          <w:szCs w:val="22"/>
        </w:rPr>
        <w:t xml:space="preserve"> com representantes de negócios, arquitetura e segurança; promoveu um plano agressivo de </w:t>
      </w:r>
      <w:r>
        <w:rPr>
          <w:rStyle w:val="Strong"/>
          <w:rFonts w:ascii="Segoe UI" w:hAnsi="Segoe UI" w:cs="Segoe UI"/>
          <w:color w:val="1A1A1A"/>
          <w:sz w:val="22"/>
          <w:szCs w:val="22"/>
        </w:rPr>
        <w:t>reskilling</w:t>
      </w:r>
      <w:r>
        <w:rPr>
          <w:rFonts w:ascii="Segoe UI" w:hAnsi="Segoe UI" w:cs="Segoe UI"/>
          <w:color w:val="1A1A1A"/>
          <w:sz w:val="22"/>
          <w:szCs w:val="22"/>
        </w:rPr>
        <w:t xml:space="preserve"> custeando certificações oficiais de nuvem para a equipe antiga (remanejando profissionais de infraestrutura para Engenheiros SRE e de Plataforma); e implementou a cultura </w:t>
      </w:r>
      <w:r>
        <w:rPr>
          <w:rStyle w:val="Strong"/>
          <w:rFonts w:ascii="Segoe UI" w:hAnsi="Segoe UI" w:cs="Segoe UI"/>
          <w:color w:val="1A1A1A"/>
          <w:sz w:val="22"/>
          <w:szCs w:val="22"/>
        </w:rPr>
        <w:t>DevSecOps</w:t>
      </w:r>
      <w:r>
        <w:rPr>
          <w:rFonts w:ascii="Segoe UI" w:hAnsi="Segoe UI" w:cs="Segoe UI"/>
          <w:color w:val="1A1A1A"/>
          <w:sz w:val="22"/>
          <w:szCs w:val="22"/>
        </w:rPr>
        <w:t xml:space="preserve">, automatizando a segurança nas esteiras de entrega contínua. Em 2020, o banco desativou seu último data center físico. </w:t>
      </w:r>
    </w:p>
    <w:p w14:paraId="157A1D91" w14:textId="77777777" w:rsidR="001B0AEC" w:rsidRDefault="001B0AEC">
      <w:pPr>
        <w:divId w:val="471751601"/>
        <w:rPr>
          <w:rFonts w:ascii="Segoe UI" w:eastAsia="Times New Roman" w:hAnsi="Segoe UI" w:cs="Segoe UI"/>
          <w:i/>
          <w:iCs/>
          <w:color w:val="64748B"/>
          <w:sz w:val="18"/>
          <w:szCs w:val="18"/>
        </w:rPr>
      </w:pPr>
      <w:r>
        <w:rPr>
          <w:rFonts w:ascii="Segoe UI" w:eastAsia="Times New Roman" w:hAnsi="Segoe UI" w:cs="Segoe UI"/>
          <w:i/>
          <w:iCs/>
          <w:color w:val="64748B"/>
          <w:sz w:val="18"/>
          <w:szCs w:val="18"/>
        </w:rPr>
        <w:t>Fonte: AWS Executive Insights / Forbes Tech Leadership (Capital One Case Study).</w:t>
      </w:r>
    </w:p>
    <w:p w14:paraId="08CD06BE" w14:textId="77777777" w:rsidR="001B0AEC" w:rsidRDefault="001B0AEC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Bloco 4 — Modelos de Serviço: IaaS, PaaS e SaaS</w:t>
      </w:r>
    </w:p>
    <w:p w14:paraId="3C8849F1" w14:textId="77777777" w:rsidR="001B0AEC" w:rsidRDefault="001B0AEC">
      <w:pPr>
        <w:pStyle w:val="Heading4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11. Tabela comparativa entre IaaS, PaaS e SaaS: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122"/>
        <w:gridCol w:w="2122"/>
        <w:gridCol w:w="2122"/>
      </w:tblGrid>
      <w:tr w:rsidR="00000000" w14:paraId="0CC5FB2F" w14:textId="77777777">
        <w:trPr>
          <w:tblHeader/>
        </w:trPr>
        <w:tc>
          <w:tcPr>
            <w:tcW w:w="1250" w:type="pc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3896EC1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Critério</w:t>
            </w:r>
          </w:p>
        </w:tc>
        <w:tc>
          <w:tcPr>
            <w:tcW w:w="1250" w:type="pc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A6AB189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IaaS</w:t>
            </w:r>
          </w:p>
        </w:tc>
        <w:tc>
          <w:tcPr>
            <w:tcW w:w="1250" w:type="pc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A29C34A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PaaS</w:t>
            </w:r>
          </w:p>
        </w:tc>
        <w:tc>
          <w:tcPr>
            <w:tcW w:w="1250" w:type="pc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F35C4A6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SaaS</w:t>
            </w:r>
          </w:p>
        </w:tc>
      </w:tr>
      <w:tr w:rsidR="00000000" w14:paraId="0324130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241FC9D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O que o cliente gerencia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884D1E6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Sistema Operacional, patches de SO, middlewares, runtimes, dados e código.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A754D9A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Código-fonte da aplicação, bibliotecas e dados/bancos de dados.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12F001D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Apenas credenciais de usuários e inserção de dados.</w:t>
            </w:r>
          </w:p>
        </w:tc>
      </w:tr>
      <w:tr w:rsidR="00000000" w14:paraId="3CF9437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9FBD49C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O que o provedor gerencia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D181F73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Infraestrutura física, hipervisores, rede, discos e data center.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17B67DD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Toda a infraestrutura física, SO, patches de SO, runtimes e escalabilidade.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64C6CDE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Toda a pilha: infraestrutura, SO, software, banco de dados e interface.</w:t>
            </w:r>
          </w:p>
        </w:tc>
      </w:tr>
      <w:tr w:rsidR="00000000" w14:paraId="59FC617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19EC6C9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Nível de flexibilidade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33CE597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Máximo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(Controle root irrestrito da máquina virtual).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24079CB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Intermediário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(Foco no desenvolvimento com regras da plataforma).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E8D3379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Mínimo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(Software padronizado para consumo imediato).</w:t>
            </w:r>
          </w:p>
        </w:tc>
      </w:tr>
      <w:tr w:rsidR="00000000" w14:paraId="75148E7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2337755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Responsabilidade de segurança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B75C9B3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Muito Alta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(Segurança do SO, firewall local, patches, senhas).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0C7BF5C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Média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(Segurança contra falhas de código da aplicação e senhas).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A04CC0C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Baixa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(Governança de senhas, MFA e controle de permissões).</w:t>
            </w:r>
          </w:p>
        </w:tc>
      </w:tr>
    </w:tbl>
    <w:p w14:paraId="30AB94F0" w14:textId="77777777" w:rsidR="001B0AEC" w:rsidRDefault="001B0AEC">
      <w:pPr>
        <w:pStyle w:val="Heading4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12. Exemplos de provedores para cada modelo:</w:t>
      </w:r>
    </w:p>
    <w:p w14:paraId="417D818C" w14:textId="77777777" w:rsidR="001B0AEC" w:rsidRDefault="001B0AEC">
      <w:pPr>
        <w:numPr>
          <w:ilvl w:val="0"/>
          <w:numId w:val="8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IaaS: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DigitalOcean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(máquinas virtuais Droplets de alta simplicidade) e 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Oracle Cloud Infrastructure - OCI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(instâncias bare-metal e VMs empresariais para ERPs).</w:t>
      </w:r>
    </w:p>
    <w:p w14:paraId="06DFA0D8" w14:textId="77777777" w:rsidR="001B0AEC" w:rsidRDefault="001B0AEC">
      <w:pPr>
        <w:numPr>
          <w:ilvl w:val="0"/>
          <w:numId w:val="8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PaaS: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Vercel / Render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(plataformas de build e deploy automático com Edge Functions) e 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Google Cloud Run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(execução gerenciada de contêineres Docker serverless).</w:t>
      </w:r>
    </w:p>
    <w:p w14:paraId="4C2A2ECC" w14:textId="77777777" w:rsidR="001B0AEC" w:rsidRDefault="001B0AEC">
      <w:pPr>
        <w:numPr>
          <w:ilvl w:val="0"/>
          <w:numId w:val="8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SaaS: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Salesforce Sales Cloud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(CRM em nuvem completo para gestão comercial) e 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Microsoft 365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(suíte colaborativa com SharePoint, Exchange e Teams).</w:t>
      </w:r>
    </w:p>
    <w:p w14:paraId="09522805" w14:textId="77777777" w:rsidR="001B0AEC" w:rsidRDefault="001B0AEC">
      <w:pPr>
        <w:pStyle w:val="Heading4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13. Function as a Service (FaaS) / Serverless: Classificação e Justificativa</w:t>
      </w:r>
    </w:p>
    <w:p w14:paraId="2FD60E7A" w14:textId="77777777" w:rsidR="001B0AEC" w:rsidRDefault="001B0AEC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O modelo **FaaS (Function as a Service)** aproxima-se do **PaaS (Platform as a Service)**, sendo categorizado por analistas e pela Cloud Security Alliance como a </w:t>
      </w:r>
      <w:r>
        <w:rPr>
          <w:rStyle w:val="Strong"/>
          <w:rFonts w:ascii="Segoe UI" w:hAnsi="Segoe UI" w:cs="Segoe UI"/>
          <w:color w:val="1A1A1A"/>
          <w:sz w:val="22"/>
          <w:szCs w:val="22"/>
        </w:rPr>
        <w:t>evolução máxima do PaaS (Event-Driven PaaS)</w:t>
      </w:r>
      <w:r>
        <w:rPr>
          <w:rFonts w:ascii="Segoe UI" w:hAnsi="Segoe UI" w:cs="Segoe UI"/>
          <w:color w:val="1A1A1A"/>
          <w:sz w:val="22"/>
          <w:szCs w:val="22"/>
        </w:rPr>
        <w:t xml:space="preserve">. </w:t>
      </w:r>
    </w:p>
    <w:p w14:paraId="41F61CD0" w14:textId="77777777" w:rsidR="001B0AEC" w:rsidRDefault="001B0AEC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Emphasis"/>
          <w:rFonts w:ascii="Segoe UI" w:hAnsi="Segoe UI" w:cs="Segoe UI"/>
          <w:color w:val="1A1A1A"/>
          <w:sz w:val="22"/>
          <w:szCs w:val="22"/>
        </w:rPr>
        <w:t>Justificativa:</w:t>
      </w:r>
      <w:r>
        <w:rPr>
          <w:rFonts w:ascii="Segoe UI" w:hAnsi="Segoe UI" w:cs="Segoe UI"/>
          <w:color w:val="1A1A1A"/>
          <w:sz w:val="22"/>
          <w:szCs w:val="22"/>
        </w:rPr>
        <w:t xml:space="preserve"> </w:t>
      </w:r>
      <w:r>
        <w:rPr>
          <w:rFonts w:ascii="Segoe UI" w:hAnsi="Segoe UI" w:cs="Segoe UI"/>
          <w:color w:val="1A1A1A"/>
          <w:sz w:val="22"/>
          <w:szCs w:val="22"/>
        </w:rPr>
        <w:t xml:space="preserve">No FaaS, o desenvolvedor é responsável única e exclusivamente pela lógica de sua função, enquanto servidores físicos, sistemas operacionais, contêineres e escalabilidade são completamente abstraídos pelo provedor. Não é IaaS porque não há máquinas virtuais para gerenciar. Não é SaaS porque o cliente não é um usuário final consumindo uma aplicação pronta, mas um programador criando software. Sua diferença frente ao PaaS tradicional é a efemeridade e a cobrança estrita por milissegundo de execução. </w:t>
      </w:r>
    </w:p>
    <w:p w14:paraId="19BC1DC6" w14:textId="77777777" w:rsidR="001B0AEC" w:rsidRDefault="001B0AEC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PARTE 2 — ATIVIDADE PRÁTICA</w:t>
      </w:r>
    </w:p>
    <w:p w14:paraId="60CEEFF9" w14:textId="77777777" w:rsidR="001B0AEC" w:rsidRDefault="001B0AEC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Prática 1 — Matriz Comparativa de Provedores de Nuvem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2207"/>
        <w:gridCol w:w="2207"/>
        <w:gridCol w:w="2207"/>
      </w:tblGrid>
      <w:tr w:rsidR="00000000" w14:paraId="3B2AB69E" w14:textId="77777777">
        <w:trPr>
          <w:tblHeader/>
        </w:trPr>
        <w:tc>
          <w:tcPr>
            <w:tcW w:w="1100" w:type="pc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DD90263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Critério</w:t>
            </w:r>
          </w:p>
        </w:tc>
        <w:tc>
          <w:tcPr>
            <w:tcW w:w="1300" w:type="pc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93D957E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Amazon Web Services (AWS)</w:t>
            </w:r>
          </w:p>
        </w:tc>
        <w:tc>
          <w:tcPr>
            <w:tcW w:w="1300" w:type="pc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A9CAA43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Microsoft Azure</w:t>
            </w:r>
          </w:p>
        </w:tc>
        <w:tc>
          <w:tcPr>
            <w:tcW w:w="1300" w:type="pc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73C9B9E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Google Cloud Platform (GCP)</w:t>
            </w:r>
          </w:p>
        </w:tc>
      </w:tr>
      <w:tr w:rsidR="00000000" w14:paraId="4983370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0ACAA68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Modelos de implantação oferecidos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B123DE9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Pública, Privada e Híbrida (AWS Outposts, Local Zones).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5DDDD4C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Pública, Privada e Híbrida (Azure Arc, Azure Stack).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B7F9BA7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Pública, Privada e Híbrida (Google Distributed Cloud, Anthos).</w:t>
            </w:r>
          </w:p>
        </w:tc>
      </w:tr>
      <w:tr w:rsidR="00000000" w14:paraId="57008B0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9E1D2F7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Principal serviço IaaS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7673102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Amazon EC2 / Amazon EBS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CD00D6A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Azure Virtual Machines / Managed Disks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49F86BA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Google Compute Engine / Persistent Disk</w:t>
            </w:r>
          </w:p>
        </w:tc>
      </w:tr>
      <w:tr w:rsidR="00000000" w14:paraId="7CC8F1C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AE15B63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Principal serviço PaaS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27BBD61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AWS Elastic Beanstalk / AWS App Runner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01D18F8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Azure App Service / Azure Container Apps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75396B2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Google Cloud Run / Google App Engine</w:t>
            </w:r>
          </w:p>
        </w:tc>
      </w:tr>
      <w:tr w:rsidR="00000000" w14:paraId="1F9485D3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3EFFADE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Principal serviço SaaS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877EA7E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Amazon WorkSpaces / Amazon Connect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B6BC76D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Microsoft 365 / Dynamics 365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0CE90C4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Google Workspace (Docs, Gmail, Drive)</w:t>
            </w:r>
          </w:p>
        </w:tc>
      </w:tr>
      <w:tr w:rsidR="00000000" w14:paraId="75CFAB3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FDEA23B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Camada gratuita (Free Tier)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B027C36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Sim: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12 meses grátis (750h/mês EC2 micro, 30 GB EBS, 5 GB S3) + Sempre Grátis (1M req Lambda).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9640818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Sim: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12 meses grátis (750h VM B1s, 64 GB Disk) + 55+ serviços sempre grátis + US$ 200 de crédito inicial.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D9770D0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Sim: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Sempre grátis (1 VM e2-micro, 5 GB Storage, 2M req Cloud Run) + US$ 300 de crédito inicial.</w:t>
            </w:r>
          </w:p>
        </w:tc>
      </w:tr>
      <w:tr w:rsidR="00000000" w14:paraId="7B2B5E3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AE813AE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Regiões de data center no Brasil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447C4C3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Sim: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Região </w:t>
            </w:r>
            <w:r>
              <w:rPr>
                <w:rStyle w:val="HTMLCode"/>
                <w:color w:val="1A1A1A"/>
              </w:rPr>
              <w:t>sa-east-1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(São Paulo) com 3 Zonas de Disponibilidade (AZs) e Edge Locations em SP, RJ e Fortaleza.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05462C8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Sim: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Região </w:t>
            </w:r>
            <w:r>
              <w:rPr>
                <w:rStyle w:val="HTMLCode"/>
                <w:color w:val="1A1A1A"/>
              </w:rPr>
              <w:t>Brazil South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(São Paulo) com 3 AZs e região de desastre </w:t>
            </w:r>
            <w:r>
              <w:rPr>
                <w:rStyle w:val="HTMLCode"/>
                <w:color w:val="1A1A1A"/>
              </w:rPr>
              <w:t>Brazil Southeast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(RJ).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05E4289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Sim: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Região </w:t>
            </w:r>
            <w:r>
              <w:rPr>
                <w:rStyle w:val="HTMLCode"/>
                <w:color w:val="1A1A1A"/>
              </w:rPr>
              <w:t>southamerica-east1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(São Paulo/Osasco) com 3 Zonas de Disponibilidade independentes.</w:t>
            </w:r>
          </w:p>
        </w:tc>
      </w:tr>
    </w:tbl>
    <w:p w14:paraId="49CAEB34" w14:textId="77777777" w:rsidR="001B0AEC" w:rsidRDefault="001B0AEC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Prática 2 — Publicando na Nuvem (Hands-On)</w:t>
      </w:r>
    </w:p>
    <w:p w14:paraId="08AE07C8" w14:textId="77777777" w:rsidR="001B0AEC" w:rsidRDefault="001B0AEC">
      <w:pPr>
        <w:shd w:val="clear" w:color="auto" w:fill="EFF6FF"/>
        <w:divId w:val="1842236823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Style w:val="Strong"/>
          <w:rFonts w:ascii="Segoe UI" w:eastAsia="Times New Roman" w:hAnsi="Segoe UI" w:cs="Segoe UI"/>
          <w:color w:val="1A1A1A"/>
          <w:sz w:val="20"/>
          <w:szCs w:val="20"/>
        </w:rPr>
        <w:t>Link da Aplicação Publicada: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hyperlink r:id="rId6" w:history="1">
        <w:r>
          <w:rPr>
            <w:rStyle w:val="Hyperlink"/>
            <w:rFonts w:ascii="Segoe UI" w:eastAsia="Times New Roman" w:hAnsi="Segoe UI" w:cs="Segoe UI"/>
            <w:sz w:val="20"/>
            <w:szCs w:val="20"/>
          </w:rPr>
          <w:t>https://computacao-em-nuvem-atividade.vercel.app</w:t>
        </w:r>
      </w:hyperlink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Style w:val="Emphasis"/>
          <w:rFonts w:ascii="Segoe UI" w:eastAsia="Times New Roman" w:hAnsi="Segoe UI" w:cs="Segoe UI"/>
          <w:color w:val="1A1A1A"/>
          <w:sz w:val="20"/>
          <w:szCs w:val="20"/>
        </w:rPr>
        <w:t>(Alternativa com GitHub Pages: https://[seu-usuario].github.io/computacao-em-nuvem-atividade/)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</w:p>
    <w:p w14:paraId="176D27A0" w14:textId="77777777" w:rsidR="001B0AEC" w:rsidRDefault="001B0AEC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Strong"/>
          <w:rFonts w:ascii="Segoe UI" w:hAnsi="Segoe UI" w:cs="Segoe UI"/>
          <w:color w:val="1A1A1A"/>
          <w:sz w:val="22"/>
          <w:szCs w:val="22"/>
        </w:rPr>
        <w:t>Parágrafo Explicativo Técnico Obrigatório:</w:t>
      </w:r>
    </w:p>
    <w:p w14:paraId="5195DFCB" w14:textId="77777777" w:rsidR="001B0AEC" w:rsidRDefault="001B0AEC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A plataforma adotada representa na prática o modelo </w:t>
      </w:r>
      <w:r>
        <w:rPr>
          <w:rStyle w:val="Strong"/>
          <w:rFonts w:ascii="Segoe UI" w:hAnsi="Segoe UI" w:cs="Segoe UI"/>
          <w:color w:val="1A1A1A"/>
          <w:sz w:val="22"/>
          <w:szCs w:val="22"/>
        </w:rPr>
        <w:t>Platform as a Service (PaaS)</w:t>
      </w:r>
      <w:r>
        <w:rPr>
          <w:rFonts w:ascii="Segoe UI" w:hAnsi="Segoe UI" w:cs="Segoe UI"/>
          <w:color w:val="1A1A1A"/>
          <w:sz w:val="22"/>
          <w:szCs w:val="22"/>
        </w:rPr>
        <w:t xml:space="preserve"> (na modalidade de </w:t>
      </w:r>
      <w:r>
        <w:rPr>
          <w:rStyle w:val="Emphasis"/>
          <w:rFonts w:ascii="Segoe UI" w:hAnsi="Segoe UI" w:cs="Segoe UI"/>
          <w:color w:val="1A1A1A"/>
          <w:sz w:val="22"/>
          <w:szCs w:val="22"/>
        </w:rPr>
        <w:t>Edge Static Web Hosting</w:t>
      </w:r>
      <w:r>
        <w:rPr>
          <w:rFonts w:ascii="Segoe UI" w:hAnsi="Segoe UI" w:cs="Segoe UI"/>
          <w:color w:val="1A1A1A"/>
          <w:sz w:val="22"/>
          <w:szCs w:val="22"/>
        </w:rPr>
        <w:t xml:space="preserve">). Sob a perspectiva do desenvolvedor, a responsabilidade limitou-se à estruturação semântica do código-fonte em HTML5/CSS3 e ao acionamento do deploy na plataforma de nuvem. Toda a infraestrutura subjacente — incluindo provisionamento de servidores web Nginx de alta disponibilidade, configuração de zonas DNS, emissão e renovação automática de certificado SSL/TLS (HTTPS), compressão e distribuição global de conteúdo por meio de redes de borda (CDN) — ficou integralmente a cargo do provedor de nuvem. </w:t>
      </w:r>
    </w:p>
    <w:p w14:paraId="7DB75133" w14:textId="77777777" w:rsidR="001B0AEC" w:rsidRDefault="001B0AEC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Prática 3 — Estudo de Caso: Desenho de Arquitetura Híbrida (Hospital de Médio Porte)</w:t>
      </w:r>
    </w:p>
    <w:p w14:paraId="7CB3054A" w14:textId="77777777" w:rsidR="001B0AEC" w:rsidRDefault="001B0AEC">
      <w:pPr>
        <w:pStyle w:val="Heading4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a. Alocação de Componentes e Justificativa Técnica (Privacidade vs. Elasticidade):</w:t>
      </w:r>
    </w:p>
    <w:p w14:paraId="7ADEDA25" w14:textId="77777777" w:rsidR="001B0AEC" w:rsidRDefault="001B0AEC">
      <w:pPr>
        <w:numPr>
          <w:ilvl w:val="0"/>
          <w:numId w:val="9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Nuvem Privada (On-Premise / Data Center Local do Hospital):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Fonts w:ascii="Segoe UI" w:eastAsia="Times New Roman" w:hAnsi="Segoe UI" w:cs="Segoe UI"/>
          <w:color w:val="1A1A1A"/>
          <w:sz w:val="22"/>
          <w:szCs w:val="22"/>
        </w:rPr>
        <w:br/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Componentes: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Banco de Dados Central do 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Prontuário Eletrônico do Paciente (PEP)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, sistema de internação/dispensação de medicamentos e servidores de imagens médicas (PACS/DICOM). </w:t>
      </w:r>
      <w:r>
        <w:rPr>
          <w:rFonts w:ascii="Segoe UI" w:eastAsia="Times New Roman" w:hAnsi="Segoe UI" w:cs="Segoe UI"/>
          <w:color w:val="1A1A1A"/>
          <w:sz w:val="22"/>
          <w:szCs w:val="22"/>
        </w:rPr>
        <w:br/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Justificativa: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Conforme o 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Art. 5º, II da LGPD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, dados de saúde são 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"dados pessoais sensíveis"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com regime tutelar rigoroso (Art. 11). A custódia local garante controle físico absoluto contra ameaças da internet pública e independência operacional contra quedas de links externos, assegurando a continuidade de cirurgias e atendimentos de UTI. </w:t>
      </w:r>
    </w:p>
    <w:p w14:paraId="5263BDCB" w14:textId="77777777" w:rsidR="001B0AEC" w:rsidRDefault="001B0AEC">
      <w:pPr>
        <w:numPr>
          <w:ilvl w:val="0"/>
          <w:numId w:val="9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Nuvem Pública (AWS / Azure / GCP):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Fonts w:ascii="Segoe UI" w:eastAsia="Times New Roman" w:hAnsi="Segoe UI" w:cs="Segoe UI"/>
          <w:color w:val="1A1A1A"/>
          <w:sz w:val="22"/>
          <w:szCs w:val="22"/>
        </w:rPr>
        <w:br/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Componentes: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Portal e app de 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Agendamento Online de Consultas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, infraestrutura de 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Telemedicina (WebRTC)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, serviço de mensageria e firewall de borda (WAF). </w:t>
      </w:r>
      <w:r>
        <w:rPr>
          <w:rFonts w:ascii="Segoe UI" w:eastAsia="Times New Roman" w:hAnsi="Segoe UI" w:cs="Segoe UI"/>
          <w:color w:val="1A1A1A"/>
          <w:sz w:val="22"/>
          <w:szCs w:val="22"/>
        </w:rPr>
        <w:br/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Justificativa: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Serviços sujeitos a oscilações sazonais severas. A 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elasticidade rápida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da nuvem pública (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Auto Scaling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) absorve picos matinais sem que o hospital precise comprar hardware físico local ocioso. </w:t>
      </w:r>
    </w:p>
    <w:p w14:paraId="5774F46E" w14:textId="77777777" w:rsidR="001B0AEC" w:rsidRDefault="001B0AEC">
      <w:pPr>
        <w:numPr>
          <w:ilvl w:val="0"/>
          <w:numId w:val="9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Interconexão Segura: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Túnel dedicado 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VPN IPsec redundante (AES-256)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com comunicação mediada por </w:t>
      </w: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API Gateway interno com autenticação mútua (mTLS) e tokenização</w:t>
      </w:r>
      <w:r>
        <w:rPr>
          <w:rFonts w:ascii="Segoe UI" w:eastAsia="Times New Roman" w:hAnsi="Segoe UI" w:cs="Segoe UI"/>
          <w:color w:val="1A1A1A"/>
          <w:sz w:val="22"/>
          <w:szCs w:val="22"/>
        </w:rPr>
        <w:t>. O prontuário integral nunca trafega nem reside na nuvem pública.</w:t>
      </w:r>
    </w:p>
    <w:p w14:paraId="3CD1F814" w14:textId="77777777" w:rsidR="001B0AEC" w:rsidRDefault="001B0AEC">
      <w:pPr>
        <w:pStyle w:val="Heading4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b. Classificação como Nuvem Híbrida:</w:t>
      </w:r>
    </w:p>
    <w:p w14:paraId="5E26E21E" w14:textId="77777777" w:rsidR="001B0AEC" w:rsidRDefault="001B0AEC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Strong"/>
          <w:rFonts w:ascii="Segoe UI" w:hAnsi="Segoe UI" w:cs="Segoe UI"/>
          <w:color w:val="1A1A1A"/>
          <w:sz w:val="22"/>
          <w:szCs w:val="22"/>
        </w:rPr>
        <w:t>Sim, é classificada como Nuvem Híbrida.</w:t>
      </w:r>
      <w:r>
        <w:rPr>
          <w:rFonts w:ascii="Segoe UI" w:hAnsi="Segoe UI" w:cs="Segoe UI"/>
          <w:color w:val="1A1A1A"/>
          <w:sz w:val="22"/>
          <w:szCs w:val="22"/>
        </w:rPr>
        <w:t xml:space="preserve"> Conforme a definição do </w:t>
      </w:r>
      <w:r>
        <w:rPr>
          <w:rStyle w:val="Strong"/>
          <w:rFonts w:ascii="Segoe UI" w:hAnsi="Segoe UI" w:cs="Segoe UI"/>
          <w:color w:val="1A1A1A"/>
          <w:sz w:val="22"/>
          <w:szCs w:val="22"/>
        </w:rPr>
        <w:t>NIST SP 800-145</w:t>
      </w:r>
      <w:r>
        <w:rPr>
          <w:rFonts w:ascii="Segoe UI" w:hAnsi="Segoe UI" w:cs="Segoe UI"/>
          <w:color w:val="1A1A1A"/>
          <w:sz w:val="22"/>
          <w:szCs w:val="22"/>
        </w:rPr>
        <w:t xml:space="preserve">, a nuvem híbrida é a composição de duas ou mais infraestruturas de nuvem distintas (uma pública e uma privada) que permanecem como entidades autônomas, mas operam unificadas por tecnologias padronizadas ou proprietárias que garantem a segurança, a portabilidade de dados e a orquestração de cargas de trabalho. </w:t>
      </w:r>
    </w:p>
    <w:p w14:paraId="14BD8459" w14:textId="77777777" w:rsidR="001B0AEC" w:rsidRDefault="001B0AEC">
      <w:pPr>
        <w:pStyle w:val="Heading4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c. Desafios Esperados e Ações de Mitigação: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971"/>
        <w:gridCol w:w="3395"/>
      </w:tblGrid>
      <w:tr w:rsidR="00000000" w14:paraId="4BEEB9B7" w14:textId="77777777">
        <w:trPr>
          <w:tblHeader/>
        </w:trPr>
        <w:tc>
          <w:tcPr>
            <w:tcW w:w="1250" w:type="pc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58B0FF1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Desafio</w:t>
            </w:r>
          </w:p>
        </w:tc>
        <w:tc>
          <w:tcPr>
            <w:tcW w:w="1750" w:type="pc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2EF6094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Origem do Desafio</w:t>
            </w:r>
          </w:p>
        </w:tc>
        <w:tc>
          <w:tcPr>
            <w:tcW w:w="2000" w:type="pc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458C0F1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Estratégia de Mitigação</w:t>
            </w:r>
          </w:p>
        </w:tc>
      </w:tr>
      <w:tr w:rsidR="00000000" w14:paraId="6A7F860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0577BFF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1. Segurança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73CA94C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O enlace de rede entre as duas nuvens torna-se um alvo prioritário para ataques de invasão e negação de serviço (DDoS).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D37A346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Túnel VPN IPsec redundante com criptografia AES-256, WAF na camada pública e aplicação do modelo Zero Trust com mTLS e API Gateway.</w:t>
            </w:r>
          </w:p>
        </w:tc>
      </w:tr>
      <w:tr w:rsidR="00000000" w14:paraId="6EB8AD7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9458CF7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2. Privacidade (LGPD)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C3DB214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Risco de vazamento de prontuários clínicos sensíveis, com aplicação de penalidades severas pela ANPD.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5E574A5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Princípio da Minimização de Dados (Art. 6º, III da LGPD): a nuvem pública manipula apenas tokens pseudoanonimizados; DPA assinado com o provedor.</w:t>
            </w:r>
          </w:p>
        </w:tc>
      </w:tr>
      <w:tr w:rsidR="00000000" w14:paraId="615FB80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DE2972D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3. Sistemas Legados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8CE6BFF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O sistema de prontuário existente não possui APIs REST modernas para integração com os serviços de nuvem.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211D686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Estratégia de Replatform com padrão Adapter/API Wrapper: desenvolvimento de microsserviços intermediários que traduzem consultas para o banco legado.</w:t>
            </w:r>
          </w:p>
        </w:tc>
      </w:tr>
      <w:tr w:rsidR="00000000" w14:paraId="65BB391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024E813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19"/>
                <w:szCs w:val="19"/>
              </w:rPr>
              <w:t>4. Cultura Organizacional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2E7E577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Resistência do corpo clínico (médicos e enfermeiros) ao digital e receio da equipe técnica local de TI de perder relevância.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55AC16C" w14:textId="77777777" w:rsidR="001B0AEC" w:rsidRDefault="001B0AEC">
            <w:pPr>
              <w:spacing w:before="225" w:after="225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Programas de Gestão de Mudança (Change Management), inclusão de médicos de liderança na homologação e capacitação dos técnicos em governança de nuvem.</w:t>
            </w:r>
          </w:p>
        </w:tc>
      </w:tr>
    </w:tbl>
    <w:p w14:paraId="5A8A97B9" w14:textId="77777777" w:rsidR="001B0AEC" w:rsidRDefault="001B0AEC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REFERÊNCIAS BIBLIOGRÁFICAS</w:t>
      </w:r>
    </w:p>
    <w:p w14:paraId="11EB8906" w14:textId="77777777" w:rsidR="001B0AEC" w:rsidRDefault="001B0AEC">
      <w:pPr>
        <w:numPr>
          <w:ilvl w:val="0"/>
          <w:numId w:val="10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MELL, Peter; GRANCE, Timothy.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The NIST Definition of Cloud Computing</w:t>
      </w:r>
      <w:r>
        <w:rPr>
          <w:rFonts w:ascii="Segoe UI" w:eastAsia="Times New Roman" w:hAnsi="Segoe UI" w:cs="Segoe UI"/>
          <w:color w:val="1A1A1A"/>
          <w:sz w:val="22"/>
          <w:szCs w:val="22"/>
        </w:rPr>
        <w:t>. Recommendations of the National Institute of Standards and Technology. NIST Special Publication 800-145, Gaithersburg: National Institute of Standards and Technology (NIST), 2011. Disponível em: &lt;https://csrc.nist.gov/publications/detail/sp/800-145/final&gt;.</w:t>
      </w:r>
    </w:p>
    <w:p w14:paraId="13F4657A" w14:textId="77777777" w:rsidR="001B0AEC" w:rsidRDefault="001B0AEC">
      <w:pPr>
        <w:numPr>
          <w:ilvl w:val="0"/>
          <w:numId w:val="10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BRASIL.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Lei nº 13.709, de 14 de agosto de 2018 (Lei Geral de Proteção de Dados Pessoais - LGPD)</w:t>
      </w:r>
      <w:r>
        <w:rPr>
          <w:rFonts w:ascii="Segoe UI" w:eastAsia="Times New Roman" w:hAnsi="Segoe UI" w:cs="Segoe UI"/>
          <w:color w:val="1A1A1A"/>
          <w:sz w:val="22"/>
          <w:szCs w:val="22"/>
        </w:rPr>
        <w:t>. Brasília, DF: Presidência da República, 2018. Disponível em: &lt;http://www.planalto.gov.br/ccivil_03/_ato2015-2018/2018/lei/l13709.htm&gt;.</w:t>
      </w:r>
    </w:p>
    <w:p w14:paraId="21E5B8F0" w14:textId="77777777" w:rsidR="001B0AEC" w:rsidRDefault="001B0AEC">
      <w:pPr>
        <w:numPr>
          <w:ilvl w:val="0"/>
          <w:numId w:val="10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BANCO CENTRAL DO BRASIL (BACEN).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Resolução CMN nº 4.893, de 23 de dezembro de 2020</w:t>
      </w:r>
      <w:r>
        <w:rPr>
          <w:rFonts w:ascii="Segoe UI" w:eastAsia="Times New Roman" w:hAnsi="Segoe UI" w:cs="Segoe UI"/>
          <w:color w:val="1A1A1A"/>
          <w:sz w:val="22"/>
          <w:szCs w:val="22"/>
        </w:rPr>
        <w:t>. Política de segurança cibernética e contratação de serviços de computação em nuvem. Disponível em: &lt;https://www.bcb.gov.br/estabilidadefinanceira/exibenormativo?tipo=Resolu%C3%A7%C3%A3o%20CMN&amp;numero=4893&gt;.</w:t>
      </w:r>
    </w:p>
    <w:p w14:paraId="04F48AD6" w14:textId="77777777" w:rsidR="001B0AEC" w:rsidRDefault="001B0AEC">
      <w:pPr>
        <w:numPr>
          <w:ilvl w:val="0"/>
          <w:numId w:val="10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AMAZON WEB SERVICES (AWS).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Amazon EC2 Auto Scaling User Guide</w:t>
      </w:r>
      <w:r>
        <w:rPr>
          <w:rFonts w:ascii="Segoe UI" w:eastAsia="Times New Roman" w:hAnsi="Segoe UI" w:cs="Segoe UI"/>
          <w:color w:val="1A1A1A"/>
          <w:sz w:val="22"/>
          <w:szCs w:val="22"/>
        </w:rPr>
        <w:t>. AWS Documentation, 2026. Disponível em: &lt;https://docs.aws.amazon.com/autoscaling/ec2/userguide/what-is-amazon-ec2-auto-scaling.html&gt;.</w:t>
      </w:r>
    </w:p>
    <w:p w14:paraId="347ED756" w14:textId="77777777" w:rsidR="001B0AEC" w:rsidRDefault="001B0AEC">
      <w:pPr>
        <w:numPr>
          <w:ilvl w:val="0"/>
          <w:numId w:val="10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MICROSOFT AZURE.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Visão geral da nuvem e modelos de serviço</w:t>
      </w:r>
      <w:r>
        <w:rPr>
          <w:rFonts w:ascii="Segoe UI" w:eastAsia="Times New Roman" w:hAnsi="Segoe UI" w:cs="Segoe UI"/>
          <w:color w:val="1A1A1A"/>
          <w:sz w:val="22"/>
          <w:szCs w:val="22"/>
        </w:rPr>
        <w:t>. Microsoft Learn, 2026. Disponível em: &lt;https://learn.microsoft.com/pt-br/azure/architecture/guide/technology-choices/compute-overview&gt;.</w:t>
      </w:r>
    </w:p>
    <w:p w14:paraId="0117BC70" w14:textId="77777777" w:rsidR="001B0AEC" w:rsidRDefault="001B0AEC">
      <w:pPr>
        <w:numPr>
          <w:ilvl w:val="0"/>
          <w:numId w:val="10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GOOGLE CLOUD.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Documentação do Google Cloud Run e Arquiteturas Sem Servidor</w:t>
      </w:r>
      <w:r>
        <w:rPr>
          <w:rFonts w:ascii="Segoe UI" w:eastAsia="Times New Roman" w:hAnsi="Segoe UI" w:cs="Segoe UI"/>
          <w:color w:val="1A1A1A"/>
          <w:sz w:val="22"/>
          <w:szCs w:val="22"/>
        </w:rPr>
        <w:t>. Google Cloud Docs, 2026. Disponível em: &lt;https://cloud.google.com/run/docs&gt;.</w:t>
      </w:r>
    </w:p>
    <w:p w14:paraId="06A4BF07" w14:textId="77777777" w:rsidR="001B0AEC" w:rsidRDefault="001B0AEC">
      <w:pPr>
        <w:numPr>
          <w:ilvl w:val="0"/>
          <w:numId w:val="10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CLOUD SECURITY ALLIANCE (CSA).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Top Threats to Cloud Computing: The Pandemic Eleven</w:t>
      </w:r>
      <w:r>
        <w:rPr>
          <w:rFonts w:ascii="Segoe UI" w:eastAsia="Times New Roman" w:hAnsi="Segoe UI" w:cs="Segoe UI"/>
          <w:color w:val="1A1A1A"/>
          <w:sz w:val="22"/>
          <w:szCs w:val="22"/>
        </w:rPr>
        <w:t>. CSA Research Publications, 2022. Disponível em: &lt;</w:t>
      </w:r>
      <w:r>
        <w:rPr>
          <w:rFonts w:ascii="Segoe UI" w:eastAsia="Times New Roman" w:hAnsi="Segoe UI" w:cs="Segoe UI"/>
          <w:color w:val="1A1A1A"/>
          <w:sz w:val="22"/>
          <w:szCs w:val="22"/>
        </w:rPr>
        <w:t>https://cloudsecurityalliance.org/research/working-groups/top-threats/&gt;.</w:t>
      </w:r>
    </w:p>
    <w:p w14:paraId="794114B5" w14:textId="77777777" w:rsidR="001B0AEC" w:rsidRDefault="001B0AEC">
      <w:pPr>
        <w:numPr>
          <w:ilvl w:val="0"/>
          <w:numId w:val="10"/>
        </w:numPr>
        <w:spacing w:before="100" w:beforeAutospacing="1" w:after="90"/>
        <w:jc w:val="both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Strong"/>
          <w:rFonts w:ascii="Segoe UI" w:eastAsia="Times New Roman" w:hAnsi="Segoe UI" w:cs="Segoe UI"/>
          <w:color w:val="1A1A1A"/>
          <w:sz w:val="22"/>
          <w:szCs w:val="22"/>
        </w:rPr>
        <w:t>ERL, Thomas; PUTTINI, Ricardo; MAHMOOD, Zaigham.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Style w:val="Emphasis"/>
          <w:rFonts w:ascii="Segoe UI" w:eastAsia="Times New Roman" w:hAnsi="Segoe UI" w:cs="Segoe UI"/>
          <w:color w:val="1A1A1A"/>
          <w:sz w:val="22"/>
          <w:szCs w:val="22"/>
        </w:rPr>
        <w:t>Cloud Computing: Concepts, Technology &amp; Architecture</w:t>
      </w:r>
      <w:r>
        <w:rPr>
          <w:rFonts w:ascii="Segoe UI" w:eastAsia="Times New Roman" w:hAnsi="Segoe UI" w:cs="Segoe UI"/>
          <w:color w:val="1A1A1A"/>
          <w:sz w:val="22"/>
          <w:szCs w:val="22"/>
        </w:rPr>
        <w:t>. Prentice Hall, 2013.</w:t>
      </w:r>
    </w:p>
    <w:sectPr w:rsidR="001B0A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76E99"/>
    <w:multiLevelType w:val="multilevel"/>
    <w:tmpl w:val="7294F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5F48C5"/>
    <w:multiLevelType w:val="multilevel"/>
    <w:tmpl w:val="CDCEF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E92D67"/>
    <w:multiLevelType w:val="multilevel"/>
    <w:tmpl w:val="F104A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B76713"/>
    <w:multiLevelType w:val="multilevel"/>
    <w:tmpl w:val="1280F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5021A6"/>
    <w:multiLevelType w:val="multilevel"/>
    <w:tmpl w:val="76D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BB5512"/>
    <w:multiLevelType w:val="multilevel"/>
    <w:tmpl w:val="BD0C1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FA3C14"/>
    <w:multiLevelType w:val="multilevel"/>
    <w:tmpl w:val="38989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98D0851"/>
    <w:multiLevelType w:val="multilevel"/>
    <w:tmpl w:val="68480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3CF2982"/>
    <w:multiLevelType w:val="multilevel"/>
    <w:tmpl w:val="510A7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B8586B"/>
    <w:multiLevelType w:val="multilevel"/>
    <w:tmpl w:val="9E4C7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6855263">
    <w:abstractNumId w:val="4"/>
  </w:num>
  <w:num w:numId="2" w16cid:durableId="1367481415">
    <w:abstractNumId w:val="1"/>
  </w:num>
  <w:num w:numId="3" w16cid:durableId="1030226883">
    <w:abstractNumId w:val="7"/>
  </w:num>
  <w:num w:numId="4" w16cid:durableId="1705859368">
    <w:abstractNumId w:val="9"/>
  </w:num>
  <w:num w:numId="5" w16cid:durableId="1814373337">
    <w:abstractNumId w:val="3"/>
  </w:num>
  <w:num w:numId="6" w16cid:durableId="806360979">
    <w:abstractNumId w:val="2"/>
  </w:num>
  <w:num w:numId="7" w16cid:durableId="2104376168">
    <w:abstractNumId w:val="0"/>
  </w:num>
  <w:num w:numId="8" w16cid:durableId="1218053954">
    <w:abstractNumId w:val="5"/>
  </w:num>
  <w:num w:numId="9" w16cid:durableId="131677072">
    <w:abstractNumId w:val="8"/>
  </w:num>
  <w:num w:numId="10" w16cid:durableId="18507511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4C1"/>
    <w:rsid w:val="001B0AEC"/>
    <w:rsid w:val="00311756"/>
    <w:rsid w:val="009A5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63EFADC"/>
  <w15:chartTrackingRefBased/>
  <w15:docId w15:val="{412D4944-62B2-4746-A332-05CE8E6E6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75"/>
      <w:outlineLvl w:val="0"/>
    </w:pPr>
    <w:rPr>
      <w:b/>
      <w:bCs/>
      <w:caps/>
      <w:color w:val="1E3A8A"/>
      <w:spacing w:val="8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keepNext/>
      <w:pBdr>
        <w:bottom w:val="single" w:sz="12" w:space="3" w:color="2563EB"/>
      </w:pBdr>
      <w:spacing w:before="375" w:after="180"/>
      <w:outlineLvl w:val="1"/>
    </w:pPr>
    <w:rPr>
      <w:b/>
      <w:bCs/>
      <w:color w:val="1E3A8A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70" w:after="120"/>
      <w:outlineLvl w:val="2"/>
    </w:pPr>
    <w:rPr>
      <w:b/>
      <w:bCs/>
      <w:color w:val="0F172A"/>
    </w:rPr>
  </w:style>
  <w:style w:type="paragraph" w:styleId="Heading4">
    <w:name w:val="heading 4"/>
    <w:basedOn w:val="Normal"/>
    <w:link w:val="Heading4Char"/>
    <w:uiPriority w:val="9"/>
    <w:qFormat/>
    <w:pPr>
      <w:keepNext/>
      <w:spacing w:before="210" w:after="90"/>
      <w:outlineLvl w:val="3"/>
    </w:pPr>
    <w:rPr>
      <w:b/>
      <w:bCs/>
      <w:color w:val="1E40AF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customStyle="1" w:styleId="msonormal0">
    <w:name w:val="msonormal"/>
    <w:basedOn w:val="Normal"/>
    <w:pPr>
      <w:spacing w:after="150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after="150"/>
      <w:jc w:val="both"/>
    </w:pPr>
  </w:style>
  <w:style w:type="paragraph" w:customStyle="1" w:styleId="header-box">
    <w:name w:val="header-box"/>
    <w:basedOn w:val="Normal"/>
    <w:pPr>
      <w:pBdr>
        <w:top w:val="single" w:sz="12" w:space="11" w:color="2563EB"/>
        <w:left w:val="single" w:sz="12" w:space="15" w:color="2563EB"/>
        <w:bottom w:val="single" w:sz="12" w:space="11" w:color="2563EB"/>
        <w:right w:val="single" w:sz="12" w:space="15" w:color="2563EB"/>
      </w:pBdr>
      <w:shd w:val="clear" w:color="auto" w:fill="F8FAFC"/>
      <w:spacing w:before="100" w:beforeAutospacing="1" w:after="375"/>
      <w:jc w:val="both"/>
    </w:pPr>
  </w:style>
  <w:style w:type="paragraph" w:customStyle="1" w:styleId="subtitle">
    <w:name w:val="subtitle"/>
    <w:basedOn w:val="Normal"/>
    <w:pPr>
      <w:spacing w:before="100" w:beforeAutospacing="1" w:after="225"/>
      <w:jc w:val="both"/>
    </w:pPr>
    <w:rPr>
      <w:b/>
      <w:bCs/>
      <w:color w:val="475569"/>
    </w:rPr>
  </w:style>
  <w:style w:type="paragraph" w:customStyle="1" w:styleId="info-table">
    <w:name w:val="info-table"/>
    <w:basedOn w:val="Normal"/>
    <w:pPr>
      <w:spacing w:before="150" w:after="90"/>
      <w:jc w:val="both"/>
    </w:pPr>
  </w:style>
  <w:style w:type="paragraph" w:customStyle="1" w:styleId="highlight-box">
    <w:name w:val="highlight-box"/>
    <w:basedOn w:val="Normal"/>
    <w:pPr>
      <w:pBdr>
        <w:left w:val="single" w:sz="24" w:space="11" w:color="2563EB"/>
      </w:pBdr>
      <w:shd w:val="clear" w:color="auto" w:fill="EFF6FF"/>
      <w:spacing w:before="180" w:after="180"/>
      <w:jc w:val="both"/>
    </w:pPr>
    <w:rPr>
      <w:sz w:val="20"/>
      <w:szCs w:val="20"/>
    </w:rPr>
  </w:style>
  <w:style w:type="paragraph" w:customStyle="1" w:styleId="code-box">
    <w:name w:val="code-box"/>
    <w:basedOn w:val="Normal"/>
    <w:pPr>
      <w:pBdr>
        <w:top w:val="single" w:sz="6" w:space="8" w:color="E2E8F0"/>
        <w:left w:val="single" w:sz="6" w:space="8" w:color="E2E8F0"/>
        <w:bottom w:val="single" w:sz="6" w:space="8" w:color="E2E8F0"/>
        <w:right w:val="single" w:sz="6" w:space="8" w:color="E2E8F0"/>
      </w:pBdr>
      <w:shd w:val="clear" w:color="auto" w:fill="F1F5F9"/>
      <w:spacing w:before="150" w:after="150"/>
      <w:jc w:val="both"/>
    </w:pPr>
    <w:rPr>
      <w:rFonts w:ascii="Consolas" w:hAnsi="Consolas"/>
      <w:sz w:val="18"/>
      <w:szCs w:val="18"/>
    </w:rPr>
  </w:style>
  <w:style w:type="paragraph" w:customStyle="1" w:styleId="fontes">
    <w:name w:val="fontes"/>
    <w:basedOn w:val="Normal"/>
    <w:pPr>
      <w:spacing w:before="60" w:after="210"/>
      <w:jc w:val="both"/>
    </w:pPr>
    <w:rPr>
      <w:i/>
      <w:iCs/>
      <w:color w:val="64748B"/>
      <w:sz w:val="18"/>
      <w:szCs w:val="18"/>
    </w:rPr>
  </w:style>
  <w:style w:type="paragraph" w:customStyle="1" w:styleId="page-break">
    <w:name w:val="page-break"/>
    <w:basedOn w:val="Normal"/>
    <w:pPr>
      <w:pageBreakBefore/>
      <w:spacing w:before="100" w:beforeAutospacing="1" w:after="90"/>
      <w:jc w:val="both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749049">
      <w:marLeft w:val="0"/>
      <w:marRight w:val="0"/>
      <w:marTop w:val="6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3722">
      <w:marLeft w:val="0"/>
      <w:marRight w:val="0"/>
      <w:marTop w:val="6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75725">
      <w:marLeft w:val="0"/>
      <w:marRight w:val="0"/>
      <w:marTop w:val="6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1601">
      <w:marLeft w:val="0"/>
      <w:marRight w:val="0"/>
      <w:marTop w:val="6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2370">
      <w:marLeft w:val="0"/>
      <w:marRight w:val="0"/>
      <w:marTop w:val="6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3177">
      <w:marLeft w:val="0"/>
      <w:marRight w:val="0"/>
      <w:marTop w:val="6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24014">
      <w:marLeft w:val="0"/>
      <w:marRight w:val="0"/>
      <w:marTop w:val="0"/>
      <w:marBottom w:val="375"/>
      <w:divBdr>
        <w:top w:val="single" w:sz="12" w:space="11" w:color="2563EB"/>
        <w:left w:val="single" w:sz="12" w:space="15" w:color="2563EB"/>
        <w:bottom w:val="single" w:sz="12" w:space="11" w:color="2563EB"/>
        <w:right w:val="single" w:sz="12" w:space="15" w:color="2563EB"/>
      </w:divBdr>
      <w:divsChild>
        <w:div w:id="96936493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236823">
      <w:marLeft w:val="0"/>
      <w:marRight w:val="0"/>
      <w:marTop w:val="180"/>
      <w:marBottom w:val="180"/>
      <w:divBdr>
        <w:top w:val="none" w:sz="0" w:space="0" w:color="auto"/>
        <w:left w:val="single" w:sz="24" w:space="11" w:color="2563EB"/>
        <w:bottom w:val="none" w:sz="0" w:space="0" w:color="auto"/>
        <w:right w:val="none" w:sz="0" w:space="0" w:color="auto"/>
      </w:divBdr>
    </w:div>
    <w:div w:id="2120686478">
      <w:marLeft w:val="0"/>
      <w:marRight w:val="0"/>
      <w:marTop w:val="6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mputacao-em-nuvem-atividade.vercel.app" TargetMode="External"/><Relationship Id="rId5" Type="http://schemas.openxmlformats.org/officeDocument/2006/relationships/hyperlink" Target="https://docs.aws.amazon.com/autoscaling/ec2/userguide/create-asg-launch-template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3982</Words>
  <Characters>21505</Characters>
  <Application>Microsoft Office Word</Application>
  <DocSecurity>0</DocSecurity>
  <Lines>179</Lines>
  <Paragraphs>50</Paragraphs>
  <ScaleCrop>false</ScaleCrop>
  <Company/>
  <LinksUpToDate>false</LinksUpToDate>
  <CharactersWithSpaces>25437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- Computação em Nuvem I</dc:title>
  <dc:subject/>
  <dc:creator>Otávio Vianna</dc:creator>
  <cp:keywords/>
  <dc:description/>
  <cp:lastModifiedBy>Otávio Vianna</cp:lastModifiedBy>
  <cp:revision>2</cp:revision>
  <dcterms:created xsi:type="dcterms:W3CDTF">2026-09-27T23:55:00Z</dcterms:created>
  <dcterms:modified xsi:type="dcterms:W3CDTF">2026-09-27T23:55:00Z</dcterms:modified>
</cp:coreProperties>
</file>